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SZTUKA WSPÓŁCZESNA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danie studentom  ogólnej orientacji w świecie zjawisk sztuki XX i XXI wieku. Ważne  dla odbioru sztuki najnowszej jest umiejętność osadzenia jej w dziejach  całości sztuki i zdania sobie sprawy,  jakie   zjawiska w sztuce   wpłynęły na dokonane przemiany .  Uformowane w dadaizmie, futuryzmie, fowizmie i ekspresjonizmie, a potem w surrealizmie  formuły plastyczne oraz intelektualne eksperymenty  w wielu wypadkach nadały kształt  zarówno formie jak i przesłaniu  n. p. tak teraz modnej rzeźbie społecznej. Wykłady mają też uświadomić rolę sztuki dawnej ,zwłaszcza renesansowej  i  barokowej w  dialogu jaki z nią prowadzili wielcy  twórcy  XX  wieku Pablo Picasso, Salvador Dali, Marcel Duchamps, Max Ernst, Andy Warhold, jak i artyści XXI wieku. Pragnę też zwrócić uwagę  słuchaczy na rolę współczesnych wielkich  wystaw urządzanych  przez  największe muzea i galerie świata  n.p.   znakomita wystawy w 2008roku Dadaizmu w Centre Pompidou w Paryżu i londyńskiej Tate Modern.  Wystawa  zajmująca się zagadnieniem  dźwięku  i światła w sztuce XX wieku, też w paryskim Centre Pompidou. Zawarte w  ich katalogach eseje i opracowania   dają wyjaśnienia  i podstawy  pozwalające zrozumieć  złożone zjawiska współczesności.  Na uwagę zasługuje również problem kryzysu muzeów wiążący się ściśle z rzeczywistością  ponowoczesną.</w:t>
      </w:r>
    </w:p>
    <w:p>
      <w:pPr>
        <w:keepNext w:val="1"/>
        <w:spacing w:after="10"/>
      </w:pPr>
      <w:r>
        <w:rPr>
          <w:b/>
          <w:bCs/>
        </w:rPr>
        <w:t xml:space="preserve">Treści kształcenia: </w:t>
      </w:r>
    </w:p>
    <w:p>
      <w:pPr>
        <w:spacing w:before="20" w:after="190"/>
      </w:pPr>
      <w:r>
        <w:rPr/>
        <w:t xml:space="preserve">Opis przedmiotu
Wykłady z zakresu malarstwa i rzeźby europejskiej od czasów Picassa po   Andy Warhola i „rzeźbę  społeczną”  .  Podjęcie takich zajęć dla studentów architektury wydaje się oczywiste. Pierwszy wykład zostanie poprzedzony wprowadzeniem  będącym przeglądem zjawisk artystycznych w wielu XIX, które doprowadziły do tych rewolucyjnych przemian, jak  wizje Goyi, ekspresje Turnera (można jego liczne  „abstrakcyjne” akwarele i 6 obrazów zobaczyć w Polsce  na wystawie w Muzeum Narodowym w Krakowie)
</w:t>
      </w:r>
    </w:p>
    <w:p>
      <w:pPr>
        <w:keepNext w:val="1"/>
        <w:spacing w:after="10"/>
      </w:pPr>
      <w:r>
        <w:rPr>
          <w:b/>
          <w:bCs/>
        </w:rPr>
        <w:t xml:space="preserve">Metody oceny: </w:t>
      </w:r>
    </w:p>
    <w:p>
      <w:pPr>
        <w:spacing w:before="20" w:after="190"/>
      </w:pPr>
      <w:r>
        <w:rPr/>
        <w:t xml:space="preserve">Pisemny  esej na  wybrany z trzech  sugerowanych  tematów  z zakresu wykładanego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John Thompson, Jak czytać malarstwo współczesne. Od Courbeta do Warhola, przekład Joanna Holzman, Kraków  2006
Sztuka świata, praca   zbiorowa .9  ,Warszawa 1996
Sztuka świata, praca zbiorowat.10,Warszawa 1996
E. Bell, Lustro, Nowa historia sztuki, tłum Ewa Gorządek, Warszawa 2009
Jean Clair, Kryzys muzeów, tłum. Jan Maria Kłoczowski, Gdańsk 2009
Clement Greenberg, Obrona modernizmu, Grzegorz Dziamski, Maria Śopik -Dziamska, Kraków  2006 
Jean Baudrillard, Spisek sztuki, Iluzje i deziluzje estetyczne z dodatkiem wywiadów o Spisku sztuki. Przedmowa  Sylvère  Latringer, tłum. Sławomir Królak, Warszawa 2006
Donald Kuspit, Koniec Sztuki, tłum. Janusz Borowski  Gdańsk 2004
Monografie Picassa, Dadaizmu, Surrealizmu wydane przez Taschena.
Lektura nieobowiązkowa
Victor Stoichita, Ustanowienie obrazu, Metamalarstwo u progu ery nowoczesnej. Przełozyła Katarzyna Thiel  Jańczuk, Gdańsk 2011
Gerald Matt, Muzeum jako przedsiębiorstwo. Łatwo i przystępnie o zarządzaniu instytucja kultury...,przełożył Andrzej Wajs, Warszawa 2006
Anna Matuchniak-Krasuska, Zarys socjologii sztuki Pierre'a Bourdieu, Warszawa 2010
Historia Sztuki Dzisiaj. Materiały Ogólnopolskiej Sesji Naukowej  Stowarzyszenia Historyków Sztuki. Poznań 19-21 listopada 2009,Warszawa 2010
Efekty kształcenia – do uzupełnienia.
Założono następujące odniesienia do efektów programu:
Wiedza: 2K_W01, 2K_W16;
Umiejętności: 2K_U10;
Kompetencje społeczne: 2K_K01, 2K_K11;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2025-06-02T13:15:57+02:00</dcterms:created>
  <dcterms:modified xsi:type="dcterms:W3CDTF">2025-06-02T13:15:57+02:00</dcterms:modified>
</cp:coreProperties>
</file>

<file path=docProps/custom.xml><?xml version="1.0" encoding="utf-8"?>
<Properties xmlns="http://schemas.openxmlformats.org/officeDocument/2006/custom-properties" xmlns:vt="http://schemas.openxmlformats.org/officeDocument/2006/docPropsVTypes"/>
</file>