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- 16h
przygotowanie do zajęć projektowych - 16h
zapoznanie ze wskazaną literaturą - 10h
przygotowanie do sprawdzianu - 8h
konsultacje - 2h
Razem nakład pracy studenta - 52h, co odpowiada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- 16h
konsultacje - 2h
Razem 18h, co odpowiada 0,6p.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- 16h
Razem 32h, co odpowiada 1,2p.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i interpretacji danych satelitarnych.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pokrycia terenu na podstawie wielospektralnego zdjęcia satelitarnego, za pomocą jednej z metod klasyfikacji nienadzorowanej. Przykłady wykorzystania wybranych wskaźników roślinności. Obliczenie wartości wskaźników dla poszczególnych klas pokrycia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sprawozdania z wykonanych projektów
sprawdzian ustny lub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Ciołkosz, A., Kęsik, A. (1989). Teledetekcja satelitarna. PWN
Richards, J., A. (2013). Remote Sensing Digital Image Analysis. Fifth Edition, Springer
Jensen, J.R., (2006). Remote Sensing of the Environment: An Earth Resource Perspective (2nd Edition). Prentice Hall
P. Kupidura, P. Podlasiak (2012). Cyfrowe przetwarzanie obrazów satelitarnych. Politechnika Warszawska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GK.NMS314_U1: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GK.NMS314_U2: </w:t>
      </w:r>
    </w:p>
    <w:p>
      <w:pPr/>
      <w:r>
        <w:rPr/>
        <w:t xml:space="preserve">potrafi wykonać analizę zmian czasowych na podstawie obrazów satelitarnych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2026-02-25T05:34:51+01:00</dcterms:created>
  <dcterms:modified xsi:type="dcterms:W3CDTF">2026-02-25T05:34:51+01:00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