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GP.SMK231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udział w wykładach - 30 godz., 
b) konsultacje: 5 godz.
2. Praca własna studenta – 23 godzin, w tym:
a) przygotowanie do zaliczenia i obecność na zaliczeniu - 13 godz. 
b) przygotowanie do zajęć, studiowanie literatury - 10 godz. 
Łączny nakład pracy studenta wynosi 58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udział w wykładach - 30 godz., 
b)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GP.SMK231_W1: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GP.SMK231_W4: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GP.SMK231_U1: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GP.SMK231_K1: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GP.SMK231_K3: </w:t>
      </w:r>
    </w:p>
    <w:p>
      <w:pPr/>
      <w:r>
        <w:rPr/>
        <w:t xml:space="preserve">Potrafi ocenić wpływ wielokierunkowych skutków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GP.SMK231_K4: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2026-08-19T01:58:53+02:00</dcterms:created>
  <dcterms:modified xsi:type="dcterms:W3CDTF">2026-08-19T01:58:53+02:00</dcterms:modified>
</cp:coreProperties>
</file>

<file path=docProps/custom.xml><?xml version="1.0" encoding="utf-8"?>
<Properties xmlns="http://schemas.openxmlformats.org/officeDocument/2006/custom-properties" xmlns:vt="http://schemas.openxmlformats.org/officeDocument/2006/docPropsVTypes"/>
</file>