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Wybrane działy gospodarki nieruchomościami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Robert Łuczyński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GK.SMS368 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Godziny kontaktowe: 15, w tym: obecność na wykładach: 14 godz., zaliczenie przedmiotu: 1 godz.
Zapoznanie się ze wskazaną literaturą: 3 godz., przygotowanie do zaliczenia przedmiotu: 12 godz.
Razem nakład pracy studenta: 30 godz. = 1 p.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0.5 ECTS
Godziny kontaktowe: 15, w tym: obecność na wykładach: 14 godz., zaliczenie przedmiotu: 1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Gospodarowanie nieruchomościami mieszkalnymi Skarbu Państwa i jednostek samorządu terytorialnego (2 godz.)
1. Ochrona praw lokatorów
2. Towarzystwo budownictwa społecznego
Gospodarowanie nieruchomościami spółdzielczymi (3 godz.)
1. Spółdzielnia mieszkaniowa jako osoba prawna, organy spółdzielni i ich kompetencje
2. Statuty i regulaminy spółdzielni, postępowanie wewnątrzspółdzielcze
3. Spółdzielcze prawa do lokali
4. Przekształcanie spółdzielczych praw do lokali
Rządowe programy wspierania i finansowania mieszkalnictwa (1godz.) 
Ogólne zasady nabywania nieruchomości przez cudzoziemców (2 godz.)
1. Pojęcie cudzoziemca w rozumieniu ustawy o nabywaniu nieruchomości przez cudzoziemców
2. Nabycie nieruchomości przez cudzoziemców wymagające zezwolenia — organ wydający zezwolenia i warunki wydania zezwolenia
3. Nabycie nieruchomości przez cudzoziemców niewymagające zezwolenia
4. Ograniczenia w nabywaniu nieruchomości rolnych i leśnych przez obywateli państw Unii Europejskiej
Ochrona danych osobowych (2 godz.)
1. Podstawowe pojęcia związane z ochroną danych osobowych
2. Organ ochrony danych osobowych
2.1. Zadania Generalnego Inspektora Ochrony Danych Osobowych
2.2. Rejestracja zbiorów danych osobowych
3. Zasady przetwarzania danych osobowych
3.1. Przypadki, w których przetwarzanie danych jest dopuszczalne
3.2. Obowiązki administratora danych osobowych
3.3. Prawa osoby, której dane dotyczą
Zamówienia publiczne (4 godz.)
1. Podstawowe pojęcia z zakresu zamówień publicznych
2. Zakres podmiotowy ustawy Prawo zamówień publicznych
3. Wyłączenia przedmiotowe i ograniczenia stosowania ustawy
4. Zasady udzielania zamówień publicznych
5. Tryby udzielania zamówień publicznych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 zaliczenia wykładu wymagane jest uzyskanie pozytywnych ocen z dwóch sprawdzianów.
Do zaliczenia sprawdzianu wymagane jest uzyskanie minimum 60% punktów.
Ocenę łączną stanowi średnia arytmetyczna z ocen z dwóch sprawdzianów.
Oceny wpisywane są według zasady:  5,0 – pięć (4,76 – 5,0); 4,5 – cztery i pół (4,26-4,74), 4,0 –cztery (3,76-4,25), 3,5-trzy i pół (3,26-3,75), 3,0-trzy (3,0-3,25).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USTAWA z dnia 21 sierpnia 1997 r. o gospodarce nieruchomościami
USTAWA z dnia 21 czerwca 2001 r. o ochronie praw lokatorów, mieszkaniowym zasobie gminy i o zmianie Kodeksu cywilnego
USTAWA z dnia 26 października 1995 r. o niektórych formach popierania budownictwa mieszkaniowego
USTAWA z dnia 19 października 1991 r. o gospodarowaniu nieruchomościami rolnymi Skarbu Państwa
USTAWA z dnia 11 kwietnia 2003 r. o kształtowaniu ustroju rolnego
USTAWA z dnia 24 czerwca 1994 r. o własności lokali
USTAWA z dnia 15 grudnia 2000 r. o spółdzielniach mieszkaniowych
USTAWA z dnia 27 września 2013 r. o pomocy państwa w nabyciu pierwszego mieszkania przez młodych ludzi
USTAWA z dnia 24 marca 1920 r. o nabywaniu nieruchomości przez cudzoziemców
USTAWA z dnia 29 sierpnia 1997 r. o ochronie danych osobowych
USTAWA z dnia 29 stycznia 2004 r. Prawo zamówień publicznych
ROZPORZĄDZENIE PREZESA RADY MINISTRÓW z dnia 23 grudnia 2013 r. w sprawie kwot wartości zamówień oraz konkursów, od których jest uzależniony obowiązek przekazywania ogłoszeń Urzędowi Publikacji Unii Europejskiej
Konstytucja Rzeczypospolitej Polskiej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www.robertluczynski.com/dydaktyka.html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GK.SMS368_W1: </w:t>
      </w:r>
    </w:p>
    <w:p>
      <w:pPr/>
      <w:r>
        <w:rPr/>
        <w:t xml:space="preserve">ma poszerzoną wiedzę techniczną i prawną z zakresu gospodarki nieruchomościami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K_W09, K_W12, K_W14, K_W15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T2A_W03, T2A_W04, T2A_W05, T2A_W07, T2A_W08, T2A_W09, T2A_W02, T2A_W03, T2A_W04, T2A_W05, T2A_W08, T2A_W02, T2A_W03, T2A_W04, T2A_W08, T2A_W11, T2A_W02, T2A_W03, T2A_W04, T2A_W07, T2A_W08, T2A_W09, T2A_W11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GK.SMS368_U1: </w:t>
      </w:r>
    </w:p>
    <w:p>
      <w:pPr/>
      <w:r>
        <w:rPr/>
        <w:t xml:space="preserve">potrafi wykonać prace geodezyjne na potrzeby gospodarki nieruchomościami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K_U03, K_U16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T2A_U04, T2A_U07, T2A_U08, T2A_U09, T2A_U10, T2A_U14, T2A_U17, T2A_U18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GK.SMS368_K1: </w:t>
      </w:r>
    </w:p>
    <w:p>
      <w:pPr/>
      <w:r>
        <w:rPr/>
        <w:t xml:space="preserve">rozumie pozatechniczne aspekty i skutki działalności inżynierskiej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K_K03, 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T2A_K02, T2A_K02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2026-10-01T23:47:42+02:00</dcterms:created>
  <dcterms:modified xsi:type="dcterms:W3CDTF">2026-10-01T23:47:42+02:00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