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udział w wykładach - 8 godzin 
b) udział w zajęciach projektowych - 16 godzin
c) udział w konsultacjach  związanych z realizacją projektu - 4 godziny
d) obecność na egzaminie - 2 godziny
2. Praca własna studenta – 45 godzin, w tym: 
a) przygotowanie do zajęć projektowych - 8 godzin
b) dokończenie (w domu) sprawozdań z zajęć projektowych - 14 godzin
c) przygotowanie do egzaminu - 23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udział w wykładach - 8 godzin 
b) udział w zajęciach projektowych - 16 godzin
c) udział w konsultacjach  związanych z realizacją projektu - 4 godziny
d)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pkt. ECTS - 42 godziny, w tym:
a) udział w zajęciach projektowych - 16 godzin
b) udział w konsultacjach  związanych z realizacją projektu - 4 godziny
c) przygotowanie do zajęć projektowych - 8 godzin
d) dokończenie (w domu) sprawozdań z zajęć projektowych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
ĆWICZENIA PROJ.: 
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egzamin. 
Forma zaliczenia ćwiczeń projektowych: ocena z wykonanych projektów.
Ocena łączna z przedmiotu jest średnia ważoną  i obejmuje ocenę z ćwiczeń projektowych (średnia ocen z projektów wykonanych w zespołach ) - waga 0,8 oraz ocenę z egzaminu - waga 1,2.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Bereżnicka J.: Plan roczny przedsiębiorstwa ( gospodarstwa rolniczego), Wyd. SGGW, Warszawa 1997.
2. Białousz S., Skłodowski P.: Ćwiczenia z gleboznawstwa i ochrony gruntów, Oficyna Wydawnicza PW, Warszawa 2015.
3. Bud –Gusaim J.: Wycena gospodarstw rolniczych oraz ich zasobów majątkowych, Wyd. SGGW, Warszawa 1997.
4. Instrukcja Urządzania Lasu.
5. Klepacki  B.: Produkcyjno-ekonomiczne podstawy organizacji gospodarstw rolnych, Wyd. SGGW-AR, Warszawa 1989.
6. Konecka-Betley K.,Czępinska-Kamińska D.,Janowska E.: Systematyka i kartografia gleb, Wydawnictwo SGGW, Warszawa 1994.
7. Kuźnicki F., Białousz S.,Skłodowski  P. 1979: Podstawy gleboznawstwa z elementami kartografii i ochrony gleb, PWN, Warszawa 1978 r.
8. Łaguna T.: Wycen nieruchomości i gospodarstw rolnych, Wyd.II, ZCO – Zielona Góra, 1999.
9. Niewiadomski  W., Podstawy agrotechniki. Praca zbiorowa.
10. Nazaruk: Podstawy rolnictwa dla meliorantów. Wyd.SGGW.
11. Rozporządzenie Ministra Finansów z dnia 10 grudnia 2001 r. w sprawie zaliczenia gmin oraz miast do jednego z czterech okręgów podatkowych.
12. Rozporządzenie Rady (WE) nr 1698/2005 z dnia 20 września 2005 r. w sprawie wsparcia rozwoju obszarów wiejskich przez Europejski Fundusz Rolny na rzecz Rozwoju Obszarów Wiejskich (EFRROW).
13. Standardy Zawodowe Rzeczoznawców Majątkowych.
14. Strony internetowe: hasło zrównoważony rozwój, funkcje obszarów wiejskich.
15. Systematyka Gleb Polski, 1989: Rocz. Glebozn. 40, 3/4, 1 - 150.
16. Ustawa z dnia 28 września 1991 r. o lasach. 
17. Ustawa z dnia 11 kwietnia 2003 r. o kształtowaniu ustroju rolnego.
18. Ustawa z dnia 15 listopada 1984 r  o podatku rolnym. 
19. Ustawa z dnia 16 marca 2001 r o rolnictwie ekologicznym. 
20. Ustawa z dnia;27 marca 2003 r. o planowaniu i zagospodarowaniu przestrzennym.
21. Ustawa z dnia 3 lutego 1995 r. o ochronie gruntów rolnych i leśnych (tekst jednolity).
22. Ustawy, rozporządzenia, pozycje internetowe dotyczące zagadnień: funkcje i rozwój obszarów wiejskich.
23. Ministerstwo Rolnictwa i Rozwoju Wsi [www.funduszestrukturalne.gov.pl/informator/npr2/po/rolnik.pdf]. 
24. Program Operacyjny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GP.NIK406_W1: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S1A_W04, S1A_W08, T1A_W08, S1A_W02, S1A_W03, 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GP.NIK406_W2: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K_W15_UR,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T1A_W08, P1A_W03, T1A_W07, T1A_W07, T1A_W09,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GP.NIK406_W3: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T1A_W09,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GP.NIK406_U1: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GP.NIK406_U2: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K_U15,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T1A_U10, T1A_U15, P1A_U07,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GP.NIK406_U3: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K_U18_UR,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T1A_U13, T1A_U14, T1A_U15, T1A_U16, P1A_U07,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GP.NIK406_K1: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GP.NIK406_K2: </w:t>
      </w:r>
    </w:p>
    <w:p>
      <w:pPr/>
      <w:r>
        <w:rPr/>
        <w:t xml:space="preserve">ma świadomość konieczności dokonania wnikliwej oceny środowiska przyrodniczego w związku z podejmowaniem określonych decyzji związanych z jego zagospodarowaniem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GP.NIK406_K3: </w:t>
      </w:r>
    </w:p>
    <w:p>
      <w:pPr/>
      <w:r>
        <w:rPr/>
        <w:t xml:space="preserve">ma świadomość rzetelnej oceny środowiska przyrodniczego, w tym glebowego przy podejmowaniu decyzji związanych z jego zagospodarowaniem a w związku z tym z dalszym jego funkcjonowaniem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p>
      <w:pPr>
        <w:keepNext w:val="1"/>
        <w:spacing w:after="10"/>
      </w:pPr>
      <w:r>
        <w:rPr>
          <w:b/>
          <w:bCs/>
        </w:rPr>
        <w:t xml:space="preserve">Efekt GP.NIK406_K4: </w:t>
      </w:r>
    </w:p>
    <w:p>
      <w:pPr/>
      <w:r>
        <w:rPr/>
        <w:t xml:space="preserve">ma świadomość znaczenia i wykorzystania wiedzy z rozwoju obszarów wiejskich zgodnie z obowiązującą w tym zakresie wykładnią zawartą w uregulowaniach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2026-02-25T12:08:23+01:00</dcterms:created>
  <dcterms:modified xsi:type="dcterms:W3CDTF">2026-02-25T12:08:23+01:00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