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miast i regionów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- 16 godzin, w tym:
a) obecność na wykładach – 8 godz.
b) konsultacje – 8 godz.
2. Praca własna studenta – 34 godziny, w tym:
a) zapoznanie się z literaturą przedmiotu i przygotowanie się do kolokwium - 34 godziny 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– 8 godz.
b) konsultacje –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ekonomii,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czynnikach i mechanizmach rozwoju regionów i miast. Identyfikacja barier rozwoju regionów i miast.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Miasta i regiony - zmiany, dylematy rozwoju - przykłady.
2. Czynniki zmian w gospodarce przestrzennej.
3. Atrakcyjność inwestycyjna regionów.
4. Społeczno - gospodarcze zróżnicowanie regionów.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obejmuje ocenę z kolokwium oraz ocenę z referatu zaprezentowanego na zajęciach, dotyczącego omawianych zagadnień.
Kolokwium obejmuje zagadnienia omawiane na wykładzie.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Ryszard Domański, Gospodarka przestrzenna. Podstawy teoretyczne, PWN, Warszawa 2006.
2. Gospodarka regionalna i lokalna, red. Zbigniew Strzelecki, PWN, Warszawa 2008.
3. Miasto jako przedmiot badań, red. Bohdan Jałowiecki, Wydawnictwo Naukowe Scholar,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GP.NIK505_W1: </w:t>
      </w:r>
    </w:p>
    <w:p>
      <w:pPr/>
      <w:r>
        <w:rPr/>
        <w:t xml:space="preserve">rozumie istotę procesu urbanizacji, zna jej rodzaje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GP.NIK505_W2: </w:t>
      </w:r>
    </w:p>
    <w:p>
      <w:pPr/>
      <w:r>
        <w:rPr/>
        <w:t xml:space="preserve">zna i rozpoznaje czynniki powodujące zmiany w gospodarce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GP.NIK505_U1: </w:t>
      </w:r>
    </w:p>
    <w:p>
      <w:pPr/>
      <w:r>
        <w:rPr/>
        <w:t xml:space="preserve">potrafi ocenić atrakcyjność i potencjał inwestycyjny poszczególnych miast i regionów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GP.NIK505_K1: </w:t>
      </w:r>
    </w:p>
    <w:p>
      <w:pPr/>
      <w:r>
        <w:rPr/>
        <w:t xml:space="preserve">może swobodnie podjąć dyskusję na temat procesów urbanizacji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GP.NIK505_K2: </w:t>
      </w:r>
    </w:p>
    <w:p>
      <w:pPr/>
      <w:r>
        <w:rPr/>
        <w:t xml:space="preserve">ma przekonanie o sensie podejmowania działań w zakresie nauk ekonomicznych w środowisku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2026-10-03T02:26:14+02:00</dcterms:created>
  <dcterms:modified xsi:type="dcterms:W3CDTF">2026-10-03T02:26:14+02:00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