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miast i regionów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- 16 godzin, w tym:
a) obecność na wykładach – 8 godz.
b) konsultacje – 8 godz.
2. Praca własna studenta – 34 godziny, w tym:
a) zapoznanie się z literaturą przedmiotu i przygotowanie się do kolokwium - 34 godziny 
Łączny nakład pracy studenta wynosi 50 godzin,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pkt. ECTS - liczba godzin kontaktowych 16, w tym:
a) obecność na wykładach – 8 godz.
b) konsultacje – 8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ekonomii, urbanistyki.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czynnikach i mechanizmach rozwoju regionów i miast. Identyfikacja barier rozwoju regionów i miast.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Miasta i regiony - zmiany, dylematy rozwoju - przykłady.
2. Czynniki zmian w gospodarce przestrzennej.
3. Atrakcyjność inwestycyjna regionów.
4. Społeczno - gospodarcze zróżnicowanie regionów.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obejmuje ocenę z kolokwium oraz ocenę z referatu zaprezentowanego na zajęciach, dotyczącego omawianych zagadnień.
Kolokwium obejmuje zagadnienia omawiane na wykładzie.
Oceny wpisywane są według zasady:  5,0 - pięć (4,76 – 5,0),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Ryszard Domański, Gospodarka przestrzenna. Podstawy teoretyczne, PWN, Warszawa 2006.
2. Gospodarka regionalna i lokalna, red. Zbigniew Strzelecki, PWN, Warszawa 2008.
3. Miasto jako przedmiot badań, red. Bohdan Jałowiecki, Wydawnictwo Naukowe Scholar,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GP.NIK505_W1: </w:t>
      </w:r>
    </w:p>
    <w:p>
      <w:pPr/>
      <w:r>
        <w:rPr/>
        <w:t xml:space="preserve">rozumie istotę procesu urbanizacji, zna jej rodzaje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keepNext w:val="1"/>
        <w:spacing w:after="10"/>
      </w:pPr>
      <w:r>
        <w:rPr>
          <w:b/>
          <w:bCs/>
        </w:rPr>
        <w:t xml:space="preserve">Efekt GP.NIK505_W2: </w:t>
      </w:r>
    </w:p>
    <w:p>
      <w:pPr/>
      <w:r>
        <w:rPr/>
        <w:t xml:space="preserve">zna i rozpoznaje czynniki powodujące zmiany w gospodarce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GP.NIK505_U1: </w:t>
      </w:r>
    </w:p>
    <w:p>
      <w:pPr/>
      <w:r>
        <w:rPr/>
        <w:t xml:space="preserve">potrafi ocenić atrakcyjność i potencjał inwestycyjny poszczególnych miast i regionów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GP.NIK505_K1: </w:t>
      </w:r>
    </w:p>
    <w:p>
      <w:pPr/>
      <w:r>
        <w:rPr/>
        <w:t xml:space="preserve">może swobodnie podjąć dyskusję na temat procesów urbanizacji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</w:t>
      </w:r>
    </w:p>
    <w:p>
      <w:pPr>
        <w:keepNext w:val="1"/>
        <w:spacing w:after="10"/>
      </w:pPr>
      <w:r>
        <w:rPr>
          <w:b/>
          <w:bCs/>
        </w:rPr>
        <w:t xml:space="preserve">Efekt GP.NIK505_K2: </w:t>
      </w:r>
    </w:p>
    <w:p>
      <w:pPr/>
      <w:r>
        <w:rPr/>
        <w:t xml:space="preserve">ma przekonanie o sensie podejmowania działań w zakresie nauk ekonomicznych w środowisku społecznym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2026-03-21T13:34:56+01:00</dcterms:created>
  <dcterms:modified xsi:type="dcterms:W3CDTF">2026-03-21T13:34:56+01:00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