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Ekonomika miast i regionów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Małgorzata Orechwo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GP.SIK328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– 35 godzin, w tym:
a) obecność na wykładach - 30 godzin 
b) konsultacje - 5 godziny
2. Praca własna studenta – 15 godzin, w tym: 
a) przygotowanie do kolokwium - 15 godzin 
Łączny nakład pracy studenta wynosi 50 godzin, co odpowiada 2 punktom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1,4 pkt. ECTS - liczba godzin kontaktowych 35, w tym:
a) obecność na wykładach - 30 godzin 
b) konsultacje - 5 godziny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ekonomii, urbanistyki.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150 studentów na wykładzie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wiedzy o czynnikach i mechanizmach rozwoju regionów i miast. Identyfikacja barier rozwoju regionów i miast.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Miasta i regiony - zmiany, dylematy rozwoju - przykłady.
Czynniki zmian w gospodarce przestrzennej.
Atrakcyjność inwestycyjna regionów.
Społeczno - gospodarcze zróżnicowanie regionów.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końcowa z przedmiotu obejmuje ocenę z kolokwium oraz ocenę z referatu dotyczącego omawianych zagadnień, zaprezentowanego na zajęciach.
Kolokwiów obejmuje zagadnienia omówione na wykładzie.
Oceny wystawiane są według zasady:  5,0 - pięć (4,76 – 5,0), 4,5 - cztery i pół (4,26 - 4,74), 4,0 - cztery (3,76 - 4,25), 3,5 - trzy i pół (3,26 - 3,75), 3,0 - trzy (3,0 - 3,25).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Ryszard Domański, Gospodarka przestrzenna. Podstawy teoretyczne, PWN, 2006, Warszawa
2. Gospodarka regionalna i lokalna, red. Zbigniew Strzelecki, PWN, 2008, Warszawa
3. Miasto jako przedmiot badań, red. Bohdan Jałowiecki, Wydawnictwo Naukowe Scholar, 2008, Warszawa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GP.SIK328_W1: </w:t>
      </w:r>
    </w:p>
    <w:p>
      <w:pPr/>
      <w:r>
        <w:rPr/>
        <w:t xml:space="preserve">rozumienie istoty procesu urbanizacji, znajomość jej rodzajów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- 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S1A_W04, S1A_W08, T1A_W08</w:t>
      </w:r>
    </w:p>
    <w:p>
      <w:pPr>
        <w:keepNext w:val="1"/>
        <w:spacing w:after="10"/>
      </w:pPr>
      <w:r>
        <w:rPr>
          <w:b/>
          <w:bCs/>
        </w:rPr>
        <w:t xml:space="preserve">Efekt GP.SIK328_W2: </w:t>
      </w:r>
    </w:p>
    <w:p>
      <w:pPr/>
      <w:r>
        <w:rPr/>
        <w:t xml:space="preserve">rozpoznanie i ocena czynników powodujących zmiany w gospodarce przestrzennej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- 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S1A_W04, S1A_W08,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GP.SIK328_U1: </w:t>
      </w:r>
    </w:p>
    <w:p>
      <w:pPr/>
      <w:r>
        <w:rPr/>
        <w:t xml:space="preserve">student realizując przedmiot potrafi ocenić atrakcyjność i potencjał inwestycyjny poszczególnych miast i regionów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- 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p>
      <w:pPr>
        <w:keepNext w:val="1"/>
        <w:spacing w:after="10"/>
      </w:pPr>
      <w:r>
        <w:rPr>
          <w:b/>
          <w:bCs/>
        </w:rPr>
        <w:t xml:space="preserve">Efekt GP.SIK328_U2: </w:t>
      </w:r>
    </w:p>
    <w:p>
      <w:pPr/>
      <w:r>
        <w:rPr/>
        <w:t xml:space="preserve">student realizując przedmiot potrafi ocenić atrakcyjność i potencjał inwestycyjny poszczególnych miast i regionów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- 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GP.SIK328_K1: </w:t>
      </w:r>
    </w:p>
    <w:p>
      <w:pPr/>
      <w:r>
        <w:rPr/>
        <w:t xml:space="preserve">może swobodnie podjąć dyskusję na temat procesów urbanizacji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- 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K_K02, 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T1A_K02, T1A_K03</w:t>
      </w:r>
    </w:p>
    <w:p>
      <w:pPr>
        <w:keepNext w:val="1"/>
        <w:spacing w:after="10"/>
      </w:pPr>
      <w:r>
        <w:rPr>
          <w:b/>
          <w:bCs/>
        </w:rPr>
        <w:t xml:space="preserve">Efekt GP.SIK328_K2: </w:t>
      </w:r>
    </w:p>
    <w:p>
      <w:pPr/>
      <w:r>
        <w:rPr/>
        <w:t xml:space="preserve">student ma przekonanie o sensie podejmowania działań w zakresie nauk ekonomicznych w środowisku społecznym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- 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K_K02, 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T1A_K02, 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2025-05-11T02:45:13+02:00</dcterms:created>
  <dcterms:modified xsi:type="dcterms:W3CDTF">2025-05-11T02:45:13+02:00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