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Tadeusz Jagodziński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GP.SIK318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37 godzin, w tym:
a) obecność na wykładach - 15 godzin 
b) obecność na ćwiczeniach - 15 godzin
c) obecność na egzaminie - 2 godziny
d) konsultacje - 5 godzin
2. Praca własna studenta – 23 godzin, w tym: 
a) przygotowanie do kolokwium na ćwiczeniach - 10 godzin
b) przygotowanie do egzaminu na ćwiczeniach - 13 godzin
Łączny nakład pracy studenta wynosi 60 godzin,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pkt. ECTS - liczba godzin kontaktowych 37, w tym:
a) obecność na wykładach - 15 godzin 
b) obecność na ćwiczeniach - 15 godzin
c) obecność na egzaminie - 2 godziny
d) konsultacje - 5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pkt. ECTS - 25 godzin, w tym: 
a) obecność na ćwiczeniach - 15 godzin
b) przygotowanie do kolokwium na ćwiczeniach - 10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rachunku prawdopodobieństwa na poziomie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podstawowymi zagadnieniami z zakresu statystyki.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Przestrzeń probabilistyczna – zdarzenia losowe, prawdopodobieństwo, prawdopodobieństwo warunkowe, twierdzenie o prawdopodobieństwie całkowitym, wzór Bayesa, niezależność zdarzeń, niezależność zdarzeń, schemat Bernoulli`ego. Zmienna losowa, funkcje zmiennej losowej, parametry rozkładu – wartość oczekiwana, wariancja (nierówność Czebyszewa), momenty zwykłe i centralne, parametry pozycyjne z.l., kwantyle, dominanta. Wybrane rozkłady z.l. typu skokowego i typu ciągłego. Twierdzenie Poissona o aproksymacji rozkładu dwumianowego rozkładem Poissona. Dwuwymiarowa zmienna losowa, funkcja prawdopodobieństwa i gęstość prawdopodobieństwa. Niezależność zmiennych losowych, parametry dwuwymiarowych z.l. – wartość oczekiwana, momenty zwykłe i centralne, kowariancja, warunkowa wartość oczekiwana, momenty rozkładu warunkowego, współczynnik korelacji, regresja I i II rodzaju (zastosowania). Informacja o wielowymiarowych z.l.  Ciągi zmiennych losowych, prawa wielkich liczb, twierdzenia graniczne. Populacja generalna, próba, statystyka. Definicja i podstawowe własności estymatorów – estymator zgodny, nieobciążony, najefektywniejszy (nierówność Rao-Cramera). Metody uzyskiwania estymatorów – metoda momentów i metoda największej wiarygodności. Przykłady estymatorów. Estymacja punktowa i przedziałowa. Przedziały ufności dla wartości średniej i wariancji w rozkładzie normalnym oraz dla wskaźnika struktury. Test statystyczny – testy parametryczne i nieparametryczne.
ĆWICZENIA:
Rozwiązywanie zadań z tematyki realizowanej na wykładzie.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w formie pisemnej. Ćwiczenia - 2 kolokwia w semestrze.
Ocena łączna jest średnią z ocen z egzaminu i ćwiczeń.
Oceny wystawiane są według zasady:  5,0 - pięć (4,76 – 5,0), 4,5 - cztery i pół (4,26 - 4,74), 4,0 - cztery (3,76 - 4,25), 3,5 - trzy i pół (3,26 - 3,75), 3,0 - trzy (3,0 - 3,25).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Plucińska, E.Pluciński – „Elementy probabilistyki”. PWN
2. W. Krysicki, J.Bartos, W.Dyczka, K.Królikowska, M.Wasilewski – „Rachunek prawdopodobieństwa i statystyka matematyczna w zadaniach, cz. I i II” PWN
3. R. Leiner, J. Zacharski – „Zarys matematyki wyższej dla studiów technicznych, cz. III.” WNT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GP.SIK318_W1: </w:t>
      </w:r>
    </w:p>
    <w:p>
      <w:pPr/>
      <w:r>
        <w:rPr/>
        <w:t xml:space="preserve">ma podstawową wiedzę z zakresu statystyki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GP.SIK318_W2: </w:t>
      </w:r>
    </w:p>
    <w:p>
      <w:pPr/>
      <w:r>
        <w:rPr/>
        <w:t xml:space="preserve">ma wiedzę niezbędną do analizy danych i budowy prostych modeli we współpracy z przyrodnikiem, inżynierem czy ekonomistą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S1A_W08,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GP.SIK318_U1: </w:t>
      </w:r>
    </w:p>
    <w:p>
      <w:pPr/>
      <w:r>
        <w:rPr/>
        <w:t xml:space="preserve">potrafi właściwie interpretować i rozwiązywać zadania z rachunku prawdopodobieństwa i statystyki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GP.SIK318_U2: </w:t>
      </w:r>
    </w:p>
    <w:p>
      <w:pPr/>
      <w:r>
        <w:rPr/>
        <w:t xml:space="preserve">potrafi wykorzystać poznane metody i modele statystyczne do analizy podstawowych zagadnień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S1A_U08, P1A_U01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GP.SIK318_K1: </w:t>
      </w:r>
    </w:p>
    <w:p>
      <w:pPr/>
      <w:r>
        <w:rPr/>
        <w:t xml:space="preserve">student rozumie potrzebę i zna możliwości wykorzystania wiedzy ze statystyki matematycznej do rozwiązywania problemów technicznych i używania właściwie jej terminologii naukowej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rozmowy kontrolne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2026-09-11T16:03:20+02:00</dcterms:created>
  <dcterms:modified xsi:type="dcterms:W3CDTF">2026-09-11T16:03:20+02:00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