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I.a/1 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10, w tym:
a) wykład - 8 godz.
b) konsultacje - 2 godz.
2. Praca własna studenta - 15 godzin, w tym:
a) 10 godz. - bieżące przygotowywanie się do wykładów (analiza literatury),
b) 5 godz. - przygotowywanie się do testu końcowego.
RAZEM: 25 godzin, co odpowiada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0.4 ECTS - liczba godzin kontaktowych: 10, w tym:
a) wykład - 8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powinien:
1. uzyskać ogólną wiedzę z zakresu pojęć i praw własności intelektualnej
2. zapoznać się z aktami prawnymi regulującymi omawianą problematykę
3. uzyskać wiedzę odnośnie wykładni omawianych przepisów prawa.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prawa własności intelektualnej 
2) Przedmiot i podmiot prawa własności intelektualnej
3) Przedmiot i podmiot prawa autorskiego
4) Powstanie i charakter ochrony praw własności intelektualnej
5) Wyczerpanie praw własności intelektualnej
6) Ustanie ochrony przedmiotów własności intelektualnej
7) zwalczaniu nieuczciwej konkurencji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testu jednokrotnego wyboru. Test składa się z 16 pytań zamkniętych.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Prawo własności intelektualnej; praca zbiorowa pod red. Joanna Sieńczyło-Chlabicz, Wydawnictwo LexisNexis, Warszawa 2013
M. Baron-Wiaterek, P. Horosz, T. Szewc  ,,Podstawy ochrony własności intelektualnej” 2013
Ustawa z dnia 4 lutego 1994 r. o prawie autorskim i prawach pokrewnych, z późniejszymi zmianami, Dz. U. 1994 r. Nr 24 poz. 83
Ustawa  z dnia 30 czerwca 2000 r.  Prawo własności przemysłowej, z późniejszymi zmianami, Dz.U. 2001 nr 49 poz. 508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GK.NIOB301_W1: </w:t>
      </w:r>
    </w:p>
    <w:p>
      <w:pPr/>
      <w:r>
        <w:rPr/>
        <w:t xml:space="preserve">Student potrafi wyjaśnić różnice między poszczególnymi prawami własności intelektualnej, zna narzędzia ochrony własności intelektualnej i sposoby rozstrzygania sporów.Student nabywa wiedzę i rozumie zasady prawnej ochrony dóbr  odpowiedzialności za ich naruszenie. Zna zasady szczególnej ochrony dóbr.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GK.NIOB301_U1: </w:t>
      </w:r>
    </w:p>
    <w:p>
      <w:pPr/>
      <w:r>
        <w:rPr/>
        <w:t xml:space="preserve">Student potrafi zidentyfikować i zastosować procedury postępowania przed Urzędem Patentowym. Stosuje zasady poszanowania autorstwa w działalności związanej z realizacją prac twórczych (w tym prac dyplomowych).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2026-06-11T04:22:40+02:00</dcterms:created>
  <dcterms:modified xsi:type="dcterms:W3CDTF">2026-06-11T04:22:40+02:00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