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24, w tym: obecność na wykładach: 8 godz., obecność na ćwiczeniach: 16 godz.
Przygotowanie do zajęć ćwiczeniowych: 16 godz., zapoznanie się ze wskazaną literaturą: 12 godz., przygotowanie do egzaminu i obecność na egzaminie: 24 godz.
Razem nakład pracy studenta: 76 godz. = 3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Zakładanie katastru.
Prowadzenie katastru.
Aktualizacja danych katastralnych.
Udostępnianie danych katastralnych.
Modernizacja ewidencji gruntów i budynków.
Operat ewidencyjny. Dane przedmiotowe i podmiotowe zawarte w bazie danych katastralnych.
Ustalanie przebiegu granic działek ewidencyjnych.
Ćwiczenia projektowe:
Wykonanie numerycznej mapy ewidencyjnej.
Założenie bazy danych ewidencyjnych.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projektów, sprawozdań oraz sprawdzianów.
W celu zdania egzaminu pisemnego wymagane jest uzyskanie minimum 60% punktów.
Ocenę łączną stanowi średnia arytmetyczna z ocen z ćwiczeń oraz z egzaminu pisemnego.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przepisy prawa:
1. Ustawa z 1989 roku Prawo geodezyjne i kartograficzne.
2. Rozporządzenie z 2001 roku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GK.NIK606_W1: </w:t>
      </w:r>
    </w:p>
    <w:p>
      <w:pPr/>
      <w:r>
        <w:rPr/>
        <w:t xml:space="preserve">zna zasady prowadzenia i udostępniania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GK.NIK606_U1: </w:t>
      </w:r>
    </w:p>
    <w:p>
      <w:pPr/>
      <w:r>
        <w:rPr/>
        <w:t xml:space="preserve">potrafi sporządzić numeryczną mapę ewidencyjną oraz rejestr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GK.NIK606_U1: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2025-05-25T08:50:40+02:00</dcterms:created>
  <dcterms:modified xsi:type="dcterms:W3CDTF">2025-05-25T08:50:40+02:00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