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 KB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24 godz.,
konsultacje: 6 godz.,
zapoznanie się z literaturą: 12 godz.,
prace domowe: 18 godz.
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laboratoryjne: 24 godz.,
konsultacje: 6 godz.,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samodzielna na ćwiczeniach: 12 godz.,
prace domowe: 18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Podstawowe metody analizy konstrukcji z punktu widzenia ryzyka awarii. Zasady probabilistycznego modelowania efektów obciążeń i ich kombinacji. Zasady probabilistycznego modelowania nośności elementów konstrukcyjnych. Zasady analizy ryzyka awarii układów konstrukcyjnych. Zasady opracowywania i aktualizowania norm obciążeń i norm projektowania. 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 2. Dwa sprawdziany pisemne. 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Literatura uzupełniająca: Nowak, A.S., Collins, K.R., “Reliability of Structure”s, McGraw-Hill, New York, 2000; Cruse, T. A., “Reliability-based mechanical design”, Marcel Dekker, Inc., New York, 1997; Thoft-Christensen, P., Baker, M.J., “Structural Reliability Theory and Its Applications”, Springer-Verlag, New York, 1982; Biegus, A., “Probabilistyczna analiza konstrukcji stalowych”, PWN, Warszawa-Wrocław, 1999; Murzewski, J., “Niezawodność konstrukcji inżynierskich”, Arkady, Warszawa, 1989; Benjamin, J.R., Cornell, C.A., „Rachunek prawdopodobieństwa, statystyka matematyczna, teoria decyzji dla inżynierów”, WNT, Warszawa, 1977; Fisz, M., „Rachunek prawdopodobieństwa i statystyka matematyczna”, PWN, Warszawa, 1969; Zieliński, M. „Metody Monte Carlo”, WNT, Warszawa, 1970; PN-ISO 2394, „Ogólne zasady niezawodności konstrukcji”, PKN, Warszawa, 2000;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serwer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NIEZAW_W01: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NEZAW_W02: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NIEZAW_W03: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NIEZAW_U01: </w:t>
      </w:r>
    </w:p>
    <w:p>
      <w:pPr/>
      <w:r>
        <w:rPr/>
        <w:t xml:space="preserve">Potrafi opracować statystycznie wyniki badań i obserwacji związanych z problemem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T2A_U08,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NIEZAW_U03: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NIEZAW_K01: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2026-09-08T13:06:12+02:00</dcterms:created>
  <dcterms:modified xsi:type="dcterms:W3CDTF">2026-09-08T13:06:12+02:00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