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ORSTER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ETCS: 12 godz. wykładów, 12 godz. ćwiczeń, 30 godz. pracy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ETCS: 12 godz. wykładów oraz 12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1ETCS: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
&lt;li&gt;Podstawowe terminy z zakresu, w tym organizacja, sterowanie, kierowanie, zarządzanie, monitorowanie, aktualizowanie oraz budowa (w sensie czynnościowym, przedmiotowym oraz podmiotowym). 
&lt;li&gt;Budowa w świetle regulacji „Prawo budowlane”. 
&lt;li&gt;Cel/ Cele działań związanych z pojęciem sterowania (w sensie ogólnym i technologicznym, budowlanym). 
&lt;li&gt;Cybernetyczny model sterowania/ kierowanie przebiegiem realizacji zbioru działań, ze szczególnym uwzględnieniem sprzężeń zwrotnych. 
&lt;li&gt;Zasady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&lt;li&gt;Rola kar umownych, zagrożeń losowych oraz formy org. realizacji zadania inwestycyjnego w procesie sterowania budową. 
&lt;li&gt;Zasady monitoringu stanu zaawansowania robót/ budowy, w ujęciu rzeczowym (w jedn. charakterystycznych oraz RMS i/ lub finansowym/ kosztowym (cost management), w funkcji czasu. 
&lt;li&gt;Określenie/ szacowanie prawdopodobieństwa terminowej realizacji budowy (sukcesu), lub prawdopodobieństwa jego nie dotrzymania – w warunkach nie podjęcia spec. działań. Ćwiczenia: Zasady aktualizacji harmonogramów ogólnych budowy i/ lub ich sieciowych modeli, bez moŜliwości renegocjacji ceny oraz w warunkach istnienia takiej moŜliwości.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KaŜdą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ORSTERW1: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ORSTERU1: </w:t>
      </w:r>
    </w:p>
    <w:p>
      <w:pPr/>
      <w:r>
        <w:rPr/>
        <w:t xml:space="preserve">Potrafi korzystać z podstawowych norm, rozporządzeń oraz wytycznych projektowania, 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K2_U08, K2_U10,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T2A_U01, T2A_U02, T2A_U05, T2A_U10, T2A_U13, T2A_U19,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ORSTERK1: </w:t>
      </w:r>
    </w:p>
    <w:p>
      <w:pPr/>
      <w:r>
        <w:rPr/>
        <w:t xml:space="preserve">Rozumie zalezności pomiędzy uczestnikami procesu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2026-07-29T12:22:47+02:00</dcterms:created>
  <dcterms:modified xsi:type="dcterms:W3CDTF">2026-07-29T12:22:47+02:00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