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Geodezja inżynierska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Krzysztof Wojciechowski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GEOIN2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Laboratoria 20,
Prace własne 45, Konsultacje 5,
Egzamin 2,
Łącznie 72 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Laboratoria 20,
Konsultacje 5,
Egzamin 2,
Łącznie 27 h
1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Laboratoria 20h, obliczenia i opracowanie sprawozdań 30h; 2 ECTS
Odbycie ćwiczeń polowych z geodezji inżynierskiej oraz ich pozytywne zaliczenie (14 dni ćwiczeń,12 dni roboczych, 6 godzin pracy studenta dziennie) - student otrzymuje dodatkowo 2 punkty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Matematyka, geometria analityczna i fizyka w zakresie szkoły średniej o profilu matematyczno-fizycznym.
Geometria wykreślna.
Geografia fizyczna w zakresie szkoły średniej.
Geodezja inżynierska 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Kształcenie umiejętności wykonywania podstawowych prac związanych z pomiarami geodezyjnymi na budowie.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Metody obliczania powierzchni.
Teoria błędów.
Niwelacja geometryczna, niwelacja trygonometryczna.
Powierzchnia odniesienia dla pomiarów pionowych, osnowa geodezyjna pionowa.
Niwelacja ciągów, niwelacja powierzchniowa.
Osnowy realizacyjne i pomiary realizacyjne.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 trakcie semestru dwa kolokwia obejmujące tematy ćwiczeń i laboratoriów.
Egzamin pisemny składający się z części zadaniowej i części teoretycznej. Dodatkowo może być przeprowadzony egzamin ustny.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Geodezja I - Mieczysław Jagielski
Geodezja II - Mieczysław Jagielski
Geodezja - Marian Wójcik, Ireneusz Wyczałek
Geodezja - Wiesław Kosiński
Opcjonalnie:
Program do obliczeń geodezyjnych "WinKalk"
Program do tworzenia map geodezyjnych "MikroMap"
lub oprogramowanie równoważne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I. Obecność na laboratoriach obowiązkowa.
Wszystkie nieobecność na laboratoriach wymagają zaliczenia tematów w czasie konsultacji.
Trzy nieobecności powodują niezaliczenie laboratoriów.
II. Po semestrze letnim (w czasie wakacji) Zespół organizuje ćwiczenia polowe z geodezji inżynierskiej. W czasie 14 dni praktyk studenci samodzielnie wykonują tematy dotyczące treści przekazanych w ciągu roku akademickiego:
- zakładanie i pomiar osnowy geodezyjnej (pomiar tradycyjny i GPS),
- pomiary uzupełniające do mapy zasadniczej,
- pomiary niwelacyjne ciągów niwelacyjnych i niwelacja powierzchniowa,
- pomiary realizacyjne.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GEOIN2W1: </w:t>
      </w:r>
    </w:p>
    <w:p>
      <w:pPr/>
      <w:r>
        <w:rPr/>
        <w:t xml:space="preserve">Zna zasady geometrii wykreślnej i rysunku technicznego dotyczące zapisu i odczytu rysunków geodezyjnych oraz ich sprzorządzania. Ma wiedze na temat komputerowej grafiki inżynierskiej.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 kolokwium i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T1A_W07</w:t>
      </w:r>
    </w:p>
    <w:p>
      <w:pPr>
        <w:keepNext w:val="1"/>
        <w:spacing w:after="10"/>
      </w:pPr>
      <w:r>
        <w:rPr>
          <w:b/>
          <w:bCs/>
        </w:rPr>
        <w:t xml:space="preserve">Efekt GEOIN2W2: </w:t>
      </w:r>
    </w:p>
    <w:p>
      <w:pPr/>
      <w:r>
        <w:rPr/>
        <w:t xml:space="preserve">Zna elementy geodezji i obliczeń geodezyjnych mających zastosowanie w budownictwie przy pracach geodezyjnych realizacyjnych, wysokościowych i sytuacyjno wysokościowych oraz podstatowy sprzęt geodezyjny do pomiarów wysokościowych i sytuacyjno-wysokościowych.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 kolokwium i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GEOIN2U1: </w:t>
      </w:r>
    </w:p>
    <w:p>
      <w:pPr/>
      <w:r>
        <w:rPr/>
        <w:t xml:space="preserve">	Ma umiejętność formułowania podstawowych zadań geodezyjnych w budownictwie. Umie posługiwać się podstawową aparaturą geodezyjną, wykonywać proste prace pomiarowe realizacyjne, wysokościowe i sytuacyjno-wysokościowe.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 kolokwium i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T1A_U08, T1A_U14</w:t>
      </w:r>
    </w:p>
    <w:p>
      <w:pPr>
        <w:keepNext w:val="1"/>
        <w:spacing w:after="10"/>
      </w:pPr>
      <w:r>
        <w:rPr>
          <w:b/>
          <w:bCs/>
        </w:rPr>
        <w:t xml:space="preserve">Efekt GEOIN2U2: </w:t>
      </w:r>
    </w:p>
    <w:p>
      <w:pPr/>
      <w:r>
        <w:rPr/>
        <w:t xml:space="preserve">	Potrafi interpretować rysunki związane z branżami pokrewnymi, a w szczególności szkice geodezyjne, profile i mapy geodezyjne sytuacyjno-wysokościowe.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 kolokwium i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T1A_U07, T1A_U15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2025-05-06T11:37:07+02:00</dcterms:created>
  <dcterms:modified xsi:type="dcterms:W3CDTF">2025-05-06T11:37:07+02:00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