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prof. nzw. dr hab. inż. Wojciech Święszkowski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 </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Zaprezentowane zostaną podstawy biomechaniki układu szkieletowo-mięśniowego człowieka. Omawiane będą stosowane równania  konstytutywne dla izotropowych, ortotropowych i anizotropowych biomateriałów. W szczególności omawiane będą zagadnienia związane z mechanicznymi właściwościami biomateriałów obejmujące właściwości sprężyste, plastyczne, lepkosprężyste, zniszczenie i zużycie. Omawiane będą również aspekty biozgodności oraz założenia i wymagania stawiane materiałów na implanty.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Y.C. Fung, Biomechanics: Mechanical Properties of Living Tissues, 2nd edition, Springer, 1993.
Biocybernetyka i inżynieria biomedyczna 2000, pod redakcją M. Nałęcza, Akademicka Oficyny Wydawnicza, EXIT, 2003;
J. Marciniak, Biomateriały, Wyd. Politechniki Śląskiej, Gliwice 2002;
M. Gierzyńska-Dolna, Biotribologia, Wyd. Politechniki Częstochowskiej,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MBIO_W1: </w:t>
      </w:r>
    </w:p>
    <w:p>
      <w:pPr/>
      <w:r>
        <w:rPr/>
        <w:t xml:space="preserve">Ma wiedzę na temat struktury i właściwości biomateriałów naturalnych i sztucznych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MBIO_W4: </w:t>
      </w:r>
    </w:p>
    <w:p>
      <w:pPr/>
      <w:r>
        <w:rPr/>
        <w:t xml:space="preserve">ma wiedzę na temat doboru biomateriałów na wybrane „części zamienne” człowieka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MBIO_U1: </w:t>
      </w:r>
    </w:p>
    <w:p>
      <w:pPr/>
      <w:r>
        <w:rPr/>
        <w:t xml:space="preserve">Potrafi dobierać wstępnie biomateriały na wybrane implanty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MBIO_U2: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MBIO_K1: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2025-05-05T07:45:04+02:00</dcterms:created>
  <dcterms:modified xsi:type="dcterms:W3CDTF">2025-05-05T07:45:04+02:00</dcterms:modified>
</cp:coreProperties>
</file>

<file path=docProps/custom.xml><?xml version="1.0" encoding="utf-8"?>
<Properties xmlns="http://schemas.openxmlformats.org/officeDocument/2006/custom-properties" xmlns:vt="http://schemas.openxmlformats.org/officeDocument/2006/docPropsVTypes"/>
</file>