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Bioethics</w:t>
      </w:r>
    </w:p>
    <w:p>
      <w:pPr>
        <w:keepNext w:val="1"/>
        <w:spacing w:after="10"/>
      </w:pPr>
      <w:r>
        <w:rPr>
          <w:b/>
          <w:bCs/>
        </w:rPr>
        <w:t xml:space="preserve">Koordynator przedmiotu: </w:t>
      </w:r>
    </w:p>
    <w:p>
      <w:pPr>
        <w:spacing w:before="20" w:after="190"/>
      </w:pPr>
      <w:r>
        <w:rPr/>
        <w:t xml:space="preserve">dr S. Bakuła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A participant who has successfully completed this course should: 
1) Be able to understand the complex normative systems of bioethics, health law and international human rights as they impact on the development of health policy, locally, nationally and internationally. 
2) Be able to apply the complex normative systems of bioethics, health law and international human rights as they apply to a variety of contemporary issues in this area locally, nationally and internationally 
3) Be able to understand the impact on the complex normative systems of bioethics, health law and international human rights of international trade agreements and the lobbying principles of corporate globalisation 
4) Be able to write and speak effectively at an academic or high policy level in the areas of regulation of cost-effectiveness evaluation of medicines and access to health services 
5) Be able to effectively resolve disputes arising in this area in private or public legal practise.
</w:t>
      </w:r>
    </w:p>
    <w:p>
      <w:pPr>
        <w:keepNext w:val="1"/>
        <w:spacing w:after="10"/>
      </w:pPr>
      <w:r>
        <w:rPr>
          <w:b/>
          <w:bCs/>
        </w:rPr>
        <w:t xml:space="preserve">Treści kształcenia: </w:t>
      </w:r>
    </w:p>
    <w:p>
      <w:pPr>
        <w:spacing w:before="20" w:after="190"/>
      </w:pPr>
      <w:r>
        <w:rPr/>
        <w:t xml:space="preserve">brak</w:t>
      </w:r>
    </w:p>
    <w:p>
      <w:pPr>
        <w:keepNext w:val="1"/>
        <w:spacing w:after="10"/>
      </w:pPr>
      <w:r>
        <w:rPr>
          <w:b/>
          <w:bCs/>
        </w:rPr>
        <w:t xml:space="preserve">Metody oceny: </w:t>
      </w:r>
    </w:p>
    <w:p>
      <w:pPr>
        <w:spacing w:before="20" w:after="190"/>
      </w:pPr>
      <w:r>
        <w:rPr/>
        <w:t xml:space="preserve">Written examination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2026-09-29T22:39:57+02:00</dcterms:created>
  <dcterms:modified xsi:type="dcterms:W3CDTF">2026-09-29T22:39:57+02:00</dcterms:modified>
</cp:coreProperties>
</file>

<file path=docProps/custom.xml><?xml version="1.0" encoding="utf-8"?>
<Properties xmlns="http://schemas.openxmlformats.org/officeDocument/2006/custom-properties" xmlns:vt="http://schemas.openxmlformats.org/officeDocument/2006/docPropsVTypes"/>
</file>