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konstrukcji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Grzegorz Dzierżanowski,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MECKON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godzin = 4 ECTS: wykład (15 godzin), ćwiczenia audytoryjne (15 godzin), ćwiczenia projektowe (15 godzin), konsultacje na miejscu i na odległość (5 godzin), powtórzenie materiału z przedmiotów poprzedzających (5 godzin), przygotowanie do zajęć w czasie semestru (15 godzin), przygotowanie do egzaminu (3 godziny), egzamin (2 godziny).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godzin = 2 ECTS: wykład: 15 godzin, ćwiczenia audytoryjne: 15 godzin, ćwiczenia projektowe: 15 godzin, konsultacje na miejscu i na odległość: 5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godzin = 1 ECTS: powtórzenie materiału z przedmiotów poprzedzających (5 godziny), przygotowanie do zajęć w czasie semestru (15 godzin), przygotowanie do egzaminu, egzamin (5 godzin).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posługiwania się dowolnym programem matematycznych obliczeń numerycznych w zakresie rachunku macierzowego. Podstawowe umiejętności z zakresu algorytmizacji i programowania obliczeń. Rozumienie podstawowych zasad energetycznych mechaniki. Rozumienie i umiejętność rozwiązywania zagadnień w zakresie statyki konstrukcji prętowych, ujętych w programie studiów I stopnia WIL PW, w szczególności Metody Sił i Metody Przemieszczeń.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decyzji Dziekana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teorii i umiejętność stosowania metod obliczeniowych statyki konstrukcji z prętów smukłych w zakresie rusztów o węzłach sztywnych oraz prętów zakrzywionych w planie,  belek podpartych sprężyście i belek na sprężystym podłożu typu Winklera, ram płaskich z prętów połączonych sprężyście.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i metody obliczeniowe statyki konstrukcji z prętów smukłych w zakresie w zakresie rusztów o węzłach sztywnych oraz prętów zakrzywionych w planie, belek podpartych sprężyście i belek na sprężystym podłożu typu Winklera, ram płaskich z prętów połączonych sprężyście.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(90 minut), którego tematem jest zagadnienie statyki  rusztów o węzłach sztywnych oraz prętów zakrzywionych w planie. Praca projektowa, której tematem jest analiza statyczna belki na sprężystym podłożu typu Winklera. Egzamin pisemny (120 minut) obejmujący trzy zagadnienia omawiane w trakcie kursu.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mk.il.pw.edu.pl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MECKONW1: </w:t>
      </w:r>
    </w:p>
    <w:p>
      <w:pPr/>
      <w:r>
        <w:rPr/>
        <w:t xml:space="preserve">Znajomość i rozumienie koncepcji rozwiązywania wybranych zadań statyki konstrukcji prętowych z uwzględnieniem sprężystości podpór i połączeń.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Część opisowa pracy projektowej.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K2_W03, 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MECKONU1: </w:t>
      </w:r>
    </w:p>
    <w:p>
      <w:pPr/>
      <w:r>
        <w:rPr/>
        <w:t xml:space="preserve">Umiejętność formułowania zadań statyki wybranych konstrukcji prętowych. Umiejętność interpretacji uzyskanych wyników. Umiejętność samodzielnego zastosowania właściwych metod obliczeniowych w odniesieniu do zadania statyki konstrukcji prętowych z uwzględnieniem sprężystości podpór i połączeń.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Część obliczeniowa pracy projektowej. Kolokwium.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K2_U03, 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MECKONK1: </w:t>
      </w:r>
    </w:p>
    <w:p>
      <w:pPr/>
      <w:r>
        <w:rPr/>
        <w:t xml:space="preserve">Samodzielna praca polegająca na rozwiązaniu zadania statyki.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obliczeń i interpretacji otrzymanych wyników oraz przejrzystości opisu pracy projektowej.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2025-05-05T07:09:51+02:00</dcterms:created>
  <dcterms:modified xsi:type="dcterms:W3CDTF">2025-05-05T07:09:51+02:00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