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
wykład 30 godz., 
ćwiczenia projektowe 15 godz., 
zapoznanie się z literaturą 7 godz.,
 przygotowanie do ćwiczeń 15 godz., 
konwersatoria 15 godz.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2.5  ECTS:
wykład 30 godz., 
ćwiczenia projektowe 15 godz., 
konwersatoria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zapoznanie się z literaturą 7 godz.,
 przygotowanie do ćwiczeń 15 godz., 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 Wytrzymałość Materiałów I i II, Mechanika Konstrukcji I i II – studia I stopnia, 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wybranych działów mechaniki konstrukcji prętowych (także w zakresie mechaniki prętów cienkościennych), powierzchniowych i cięgnowych, nie omawianych na kursach Wytrzymałości Materiałów I, II oraz  Mechaniki Konstrukcji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Ruszty o węzłach sztywnych, pręty zakrzywione w planie.
Wybrane zagadnienia statyki i stateczności  prętów cienkościennych.
Podstawy teorii powłok cienkich. Metody obliczeń statycznych wielosegmentowych zbiorników walcowych.
Podstawy mechaniki konstrukcji cięgnowych.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A.Gawęcki, Mechanika materiałów i konstrukcji pretowych. cz. I, cz. II, Wydaw. Politechniki Poznańskiej 1998 r.
[2] Chmielewski T., Zembaty Z., Podstawy dynamiki budowli. Arkady 1998;&lt;br&gt; 
[3] Zienkiewicz O.C., Taylor R.L., The Finite Element Method. Vol. I, II. Butterworth-Heinemann 2000.
[4] Z.Mazurkiewicz, Cienkie powłoki sprężyste. Teoria Liniowa. OW PW 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MEKOKBW2: </w:t>
      </w:r>
    </w:p>
    <w:p>
      <w:pPr/>
      <w:r>
        <w:rPr/>
        <w:t xml:space="preserve">Zna  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MEKOKBW3: </w:t>
      </w:r>
    </w:p>
    <w:p>
      <w:pPr/>
      <w:r>
        <w:rPr/>
        <w:t xml:space="preserve">Potrafi rozwiązywać zadania statyczne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MEKOKBW4: </w:t>
      </w:r>
    </w:p>
    <w:p>
      <w:pPr/>
      <w:r>
        <w:rPr/>
        <w:t xml:space="preserve">Potrafi rozwiązywać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MEKOKBW5: </w:t>
      </w:r>
    </w:p>
    <w:p>
      <w:pPr/>
      <w:r>
        <w:rPr/>
        <w:t xml:space="preserve">Potrafi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2026-09-09T23:54:09+02:00</dcterms:created>
  <dcterms:modified xsi:type="dcterms:W3CDTF">2026-09-09T23:54:09+02:00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