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TSiP2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płyt.&lt;br&gt;Analiza wybranych zadań płyt izotropowych i płyt na sprężystym podłożu oraz zagadnienia półprzestrzeni. &lt;br&gt;Odróżnianie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&lt;br&gt;Zagadnienia półprzestrzeni. &lt;br&gt;Niesprężyste zachowanie materiału: lepkość, plastyczność i pękanie. &lt;br&gt;Hipotezy wytężeniowe, warunek plastyczności i potencjał plastyczności. &lt;br&gt;Materiał sprężysto-plastyczny. Wzmocnienie materiału. Parametry wewnętrzne. &lt;br&gt;Nośność graniczna. &lt;br&gt;Elementy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TSiP2W1: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K2_W02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TSiPU1: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K2_U02</w:t>
      </w:r>
    </w:p>
    <w:p>
      <w:pPr>
        <w:spacing w:before="20" w:after="190"/>
      </w:pPr>
      <w:r>
        <w:rPr>
          <w:b/>
          <w:bCs/>
        </w:rPr>
        <w:t xml:space="preserve">Powiązane efekty obszarowe: </w:t>
      </w:r>
      <w:r>
        <w:rPr/>
        <w:t xml:space="preserve">T2A_U09, T2A_U18</w:t>
      </w:r>
    </w:p>
    <w:p>
      <w:pPr>
        <w:pStyle w:val="Heading3"/>
      </w:pPr>
      <w:bookmarkStart w:id="4" w:name="_Toc4"/>
      <w:r>
        <w:t>Profil ogólnoakademicki - kompetencje społeczne</w:t>
      </w:r>
      <w:bookmarkEnd w:id="4"/>
    </w:p>
    <w:p>
      <w:pPr>
        <w:keepNext w:val="1"/>
        <w:spacing w:after="10"/>
      </w:pPr>
      <w:r>
        <w:rPr>
          <w:b/>
          <w:bCs/>
        </w:rPr>
        <w:t xml:space="preserve">Efekt TSiPK1: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2026-10-02T23:34:05+02:00</dcterms:created>
  <dcterms:modified xsi:type="dcterms:W3CDTF">2026-10-02T23:34:05+02:00</dcterms:modified>
</cp:coreProperties>
</file>

<file path=docProps/custom.xml><?xml version="1.0" encoding="utf-8"?>
<Properties xmlns="http://schemas.openxmlformats.org/officeDocument/2006/custom-properties" xmlns:vt="http://schemas.openxmlformats.org/officeDocument/2006/docPropsVTypes"/>
</file>