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ze wskazaną literaturą - 5, przygotowanie do egzaminu -20, razem - 55; Laboratoria: liczba godzin według planu studiów - 30,  przygotowanie do zajęć - 10, zapoznanie ze wskazaną literaturą - 5, oprcowanie wyników-5, napisanie sprawozdania - 10, przygotowanie do kolokwium - 10, razem - 70;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h,  przygotowanie do zajęć - 10 h, zapoznanie ze wskazaną literaturą - 5 h, oprcowanie wyników - 5 h, napisanie sprawozdania - 10 h, przygotowanie do kolokwium - 10 h; Razem - 70 h = 2,8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Laboratorium: 8 - 12.</w:t>
      </w:r>
    </w:p>
    <w:p>
      <w:pPr>
        <w:keepNext w:val="1"/>
        <w:spacing w:after="10"/>
      </w:pPr>
      <w:r>
        <w:rPr>
          <w:b/>
          <w:bCs/>
        </w:rPr>
        <w:t xml:space="preserve">Cel przedmiotu: </w:t>
      </w:r>
    </w:p>
    <w:p>
      <w:pPr>
        <w:spacing w:before="20" w:after="190"/>
      </w:pPr>
      <w:r>
        <w:rPr/>
        <w:t xml:space="preserve">Cel wykładu
Uzyskanie przez studenta wiedzy dotyczącej pomiarów, aparatury kontrolno-pomiarowej, systemów pomiarowych oraz automatyki przemysłowej i regulacji automatycznej z obszaru technologii chemicznej
Cel laboratorium
Zapoznanie się studentów z metodami pomiarowymi, budową urządzeń pomiarowych i komputerowych systemów pomiarowych służących do pomiaru temperatury, ciśnienia, przepływu i poziomu oraz praktyczne zastosowane zdobytej wiedzy  dotyczącej automatyki i regulacji automatycznej, projektowania i realizacji automatów cyfrowych z wykorzystaniem graficznego środowiska programistycznego oraz sterownika przemysłowego
</w:t>
      </w:r>
    </w:p>
    <w:p>
      <w:pPr>
        <w:keepNext w:val="1"/>
        <w:spacing w:after="10"/>
      </w:pPr>
      <w:r>
        <w:rPr>
          <w:b/>
          <w:bCs/>
        </w:rPr>
        <w:t xml:space="preserve">Treści kształcenia: </w:t>
      </w:r>
    </w:p>
    <w:p>
      <w:pPr>
        <w:spacing w:before="20" w:after="190"/>
      </w:pPr>
      <w:r>
        <w:rPr/>
        <w:t xml:space="preserve">Treści merytoryczne – wykład
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(mierniki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automatyki, sygnały stosowane w automatyce, teoria sprzężenia zwrotnego, układy sterowania, struktury układów sterowania) 
W8. Projektowanie automatów cyfrowych (podstawy algebry Boole’a,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
Treści merytoryczne – laboratorium 
L1. Pomiary wielokrotne i szacowanie niepewności pomiaru
L2. Badanie wzmacniacza operacyjnego
L3. Badanie właściwości statycznych i dynamicznych przetworników pomiarowych
L4. Akwizycja danych pomiarowych z wykorzystaniem komputerowego systemu pomiarowego
L5. Wyznaczanie charakterystyk czasowych i częstotliwościowych wybranych członów stosowanych w automatyce
L6. Modelowanie automatu cyfrowego z wykorzystaniem graficznego środowiska programowego
L7. Dobór nastaw regulatorów oraz ocena jakości regulacji
L8. Pomiar przepływu cieczy z wykorzystaniem kryzy pomiarowej
L9. Histereza siłownika pneumatycznego oraz wyznaczanie błędów pomiaru ciśnienia za pomocą manometru
L10. Wyznaczanie charakterystyk dynamicznych czujników temperatury
L11. Wyznaczanie charakterystyk Bodego oraz charakterystyki Nyquista wybranych obiektów stosowanych w automatyce
L12. Modelowanie układu sterowania obiektami z wykorzystaniem sterownika przemysłowego</w:t>
      </w:r>
    </w:p>
    <w:p>
      <w:pPr>
        <w:keepNext w:val="1"/>
        <w:spacing w:after="10"/>
      </w:pPr>
      <w:r>
        <w:rPr>
          <w:b/>
          <w:bCs/>
        </w:rPr>
        <w:t xml:space="preserve">Metody oceny: </w:t>
      </w:r>
    </w:p>
    <w:p>
      <w:pPr>
        <w:spacing w:before="20" w:after="190"/>
      </w:pPr>
      <w:r>
        <w:rPr/>
        <w:t xml:space="preserve">Egzamin pisemny na końcu semestru po zrealizowaniu tematyki wykładu
Sprawozdania z ćwiczeń laboratoryjnych
Kolokwium ustne z przygotowania teoretycznego do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 obserwacja zachowań w czasie zajęć laboratoryjnych</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 kolokwium ustne w czasie zajęć laboratoryjnych</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 obserwacja zachowań w czasie zajęć laboratoryjnych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2026-09-09T08:11:16+02:00</dcterms:created>
  <dcterms:modified xsi:type="dcterms:W3CDTF">2026-09-09T08:11:16+02:00</dcterms:modified>
</cp:coreProperties>
</file>

<file path=docProps/custom.xml><?xml version="1.0" encoding="utf-8"?>
<Properties xmlns="http://schemas.openxmlformats.org/officeDocument/2006/custom-properties" xmlns:vt="http://schemas.openxmlformats.org/officeDocument/2006/docPropsVTypes"/>
</file>