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chemiczne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inż./Barbara Pacewska/profesor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przygotowanie do zajęć - 30,przygotowanie do kolokwium - 40;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wprowadzenia do opisu ilościowego procesów i zjawisk chemicznych. Zapoznanie z podstawowymi obliczeniami chemicznymi za zakresu chemii ogólnej i nieorganicznej.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Roztwory właściwe i koloidalne, stężenia roztworów, aktywność stężeniowa, rozpuszczalność, zatężanie i rozcieńczanie roztworów, przeliczanie stężeń. C2 - Obliczenia stechiometryczne. C3 - Równowagi i reakcje w roztworach wodnych elektrolitów (dysocjacja elektrolityczna i jej ilościowy opis, iloczyn jonowy, elektrolity słabe i mocne). C4 - Obliczanie pH mocnych i słabych kwasów i zasad, kwasy wieloprotonowe. C5 - Roztwory buforowe. C6 - Hydroliza soli i jej ilościowy opis. C7 - Równowagi w roztworach nasyconych zawiązków trudnorozpuszczalnych (wpływ elektrolitów na rozpuszczalność, efekt wspólnego jonu, wpływ pH na rozpuszczalność).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Przewidziane jest co najmniej jedno kolokwium pisemne. Zaliczenie przedmiotu uzyskuje się przez otrzymanie oceny pozytywnej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Bądkowska Z., Koliński E., Wojnowska M., Obliczenia z chemii nieorganicznej, Wyd. Politechniki Gdańskiej, Gdańsk, 1996 
2. Galus Z. [red.], Ćwiczenia rachunkowe z chemii analitycznej, PWN, Warszawa, 1972 
3. Śliwa A. [red.], Obliczenia chemiczne, PWN, Warszawa, 1976 
4. Juszczyk K., Nieniewska J., Ćwiczenia rachunkowe z chemii ogólnej, Wyd. Politechniki Warszawskiej, Warszawa, 1986 
5. Pulman A.G., Zbiór zadań z chemii ogólnej, PWN, Warszawa, 1981 
6. Wiktorow M.M., Obliczenia graficzne w technologii substancji nieorganicznych, WNT, Warszawa, 1975 
7. Poradnik fizykochemiczny, WNT, Warszawa, 1974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zakresu algebry i analizy matematycznej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chemii ogólnej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innych właściwie dobranych źródeł,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przedstawiać otrzymane wyniki w formie liczbowej,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U09_02: </w:t>
      </w:r>
    </w:p>
    <w:p>
      <w:pPr/>
      <w:r>
        <w:rPr/>
        <w:t xml:space="preserve">Umie posługiwać się regułami logiki matematycznej w zastosowaniach matematycznych dotyczących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do pracy w środowisku przemysłowym w zakresie podstawowych obliczeń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2026-10-01T11:35:43+02:00</dcterms:created>
  <dcterms:modified xsi:type="dcterms:W3CDTF">2026-10-01T11:35:43+02:00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