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CISZEK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- 40 godz., wtym: 
a) wykład - 30 godz. 
b) konsultacje - 10 godz.
2)	Praca własna studenta – 35godz. 
a) przygotowanie do kolokwiów: 20 godz. 
b) zapoznanie z literaturą: 15 godz.
RAZEM - 75 godz.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- 40 godz. w tym:
a) wykład - 30 godz. 
b) konsultacje - 10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
PROJEKTOWANIE: opanowanie materiału z wykładu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anatomii i fizjologii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ciała - Budowa zewnętrzna i wewnętrzna ciała ludzkiego. Części składowe. (5h) Komórki, tkanki i ich czynności - Dializa. Transport jonowy, wymiana gazowa, potencjały elektryczne w organizmie. (8h) Narządy wewnętrzne i układy narządów (położenie, budowa i funkcje) –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 (10h) Układ krążenia i krew (budowa i funkcje) – Układ krążenia (serce, naczynia wieńcowe, naczynia obwodowe), krew, układ krwiotwórczy, właściwości fizykochemiczne krwi. (5h) Wybrane zagadnienia - Wybrane zagadnienia histologii i embriologii. (2h),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Sylwanowicz, Anatomia człowieka, PZWL,Warszawa 1977;
Bochenek, Anatomia człowieka, PZWL Warszawa, 1990 W. Traczyk i A. Trzebski, Fizjologia człowieka z elementami fizjologii klinicznej. Wyd. 3, PZWL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ANiF_W1: </w:t>
      </w:r>
    </w:p>
    <w:p>
      <w:pPr/>
      <w:r>
        <w:rPr/>
        <w:t xml:space="preserve">Zna najważniejsze narządy i ich podstawowe funkcje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_W2: </w:t>
      </w:r>
    </w:p>
    <w:p>
      <w:pPr/>
      <w:r>
        <w:rPr/>
        <w:t xml:space="preserve">Zna budowę funkcjonowanie komórek i tkanek człowieka ( transport jonowy, wymiana gazowa 
w płucach,potencjały elektryczne w organizmie).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ANiF _W3: </w:t>
      </w:r>
    </w:p>
    <w:p>
      <w:pPr/>
      <w:r>
        <w:rPr/>
        <w:t xml:space="preserve">Zna budowę, fizjologię i funkcje układów człowieka:mięśniowo-szkieletowego, nerwowego, trawiennego, oddechowego, krążenia, moczowo-płciowego.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ANiF _U1: </w:t>
      </w:r>
    </w:p>
    <w:p>
      <w:pPr/>
      <w:r>
        <w:rPr/>
        <w:t xml:space="preserve">potrafi dobrać metode obrazowania medycznego do obrazowania struktury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ANiF_K1: </w:t>
      </w:r>
    </w:p>
    <w:p>
      <w:pPr/>
      <w:r>
        <w:rPr/>
        <w:t xml:space="preserve">Jest świadomy szczególnych uwarunkowań zwiazanych z polem działania inzynierii biomedycznej i zwiazanej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2026-03-21T01:57:10+01:00</dcterms:created>
  <dcterms:modified xsi:type="dcterms:W3CDTF">2026-03-21T01:57:10+01:00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