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zapoznanie z literaturą - 10h
przygotowanie projektu naprawy - 15h
przygotowanie i przedstawienie pracy semestralnej (referat, prezentacja) - 5h
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 wykłady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Ma wiedzę dotycząca przyczyn i objawów uszkodzenia konstrukcji betonowych, podstaw diagnostyki konstrukcji betonowych. Zna podstawowe zasady doboru materiałów do napraw, w szczególności zagadnienia w kształtowania przyczepności i kompatybilności.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z zakresu strategii, zasad i metod napraw według PN-EN 1504  „Wyroby i systemy do napraw i ochrony powierzchniowej konstrukcji. Ma wiedzę z zakresu wybranych wytycznych napraw wg ACI Concrete Repair Manual.   Zna metody kontroli skuteczności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pracować w zespole lub indywidualnie nad rozwiązaniem problemu w istniejącej konstrukcji betonowej. Potrafi przygotować projekt naprawy wybranego obiektu zgodnie z EN-1504 i przedstawić go przed grupą, prezentując inżynierską odpowiedzialność z wyciągniętych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aktywność podczas ćwiczeń oraz sposób prezentacji projektu naprawy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