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Golubińska, dr inż. Piotr Knyziak, dr inż. Marcin Niedośpiał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APRKON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30 godzin; przygotowanie do zajęć, prace zaliczeniowe 20 godzin; RAZEM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30 godzin; RAZEM 30 godzin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30 godzin; przygotowanie do zajęć, prace zaliczeniowe 20 godzin; RAZEM 50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zainteresowanych programami do komputerowego wspomagania projektowania. Polecany dla studentów, którzy w ramach pracy dyplomowej chcą wykonać projekt konstrukcyjny.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 grup 20 osobowych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dotyczących modelowania prostych konstrukcji prętowych (2D, 3D) i powierzchniowych (płyty), definicji obciążeń i ich kombinacji, obliczeń statycznych, interpretacji wyników  w programie Autodesk Robot Structural Analysis Professional. Po zaliczeniu przedmiotu student powinien umieć zastosować zdobytą wiedzę przy pracy dyplomowej.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Wspomaganie komputerowe projektowania konstrukcji - zagadnienia wprowadzające; klasyfikacja ustrojów konstrukcyjnych; model obliczeniowy budowli - pojęcia, charakterystyka, ograniczenia; program komputerowy jako realizacja przyjętego algorytmu rozwiązania modelu numerycznego budowli. &lt;br&gt;• Ustawienia programu - preferencje zadania, materiały, normy, dokładność, jednostki itp. &lt;br&gt;• Obciążenia konstrukcji - przypadki obciążeń, definicje obciążeń: obciążenia powierzchniowe i liniowe, kombinacje ręczne i automatyczne, okładziny. &lt;br&gt;• Konstrukcje prętowe – płaskie i przestrzenne; definicja prętów, modelowanie połączeń (węzłów) i podpór, materiały, charakterystyki przekroju. &lt;br&gt;• Konstrukcje powierzchniowe - definicja geometrii płyt: definicja konturów, otwory, definicja grubości i materiału; podpory w płytach żelbetowych (podpory punktowe, liniowe, powierzchniowe, słupy, wymiary podpór); siatkowanie konstrukcji płytowych – siatkowanie Coonsa i Delauney’a, dogęszczanie siatki (ręczne i automatyczne - emitery), siatka regularna, analiza zbieżności wyników dla różnych gęstości siatek. &lt;br&gt;• Rezultaty dla konstrukcji prętowych i płytowych – interpretacja rezultatów, rezultaty tabelaryczne sił, przemieszczeń i reakcji; wykresy sił, przemieszczeń i reakcji; mapy, izolinie i wartości w elementach skończonych, przecięcia przez panele.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Należy uczęszczać i aktywnie uczestniczyć w zajęciach. &lt;br&gt;Student jest zobowiązany do wykonania projektu zaliczeniowego, który należy zakończyć i obronić w terminie określonym w regulaminie przedmiotu – ocena zależy od jakości projektu i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Strona internetowa firmy ROBOBAT www.robobat.com.pl Materiały własne szkoleniowe. "Help" programu.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APRKONW01: </w:t>
      </w:r>
    </w:p>
    <w:p>
      <w:pPr/>
      <w:r>
        <w:rPr/>
        <w:t xml:space="preserve">														Zna możliwości i zakres stosowania programu ARSA Pro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T1A_W05, T1A_W07</w:t>
      </w:r>
    </w:p>
    <w:p>
      <w:pPr>
        <w:keepNext w:val="1"/>
        <w:spacing w:after="10"/>
      </w:pPr>
      <w:r>
        <w:rPr>
          <w:b/>
          <w:bCs/>
        </w:rPr>
        <w:t xml:space="preserve">Efekt APRKONW02: </w:t>
      </w:r>
    </w:p>
    <w:p>
      <w:pPr/>
      <w:r>
        <w:rPr/>
        <w:t xml:space="preserve">																					Zna zasady modelowania konstrukcji prętowych i płyt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K1_W04, 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T1A_W02, T1A_W03, T1A_W05, T1A_W06, T1A_W07, T1A_W01, T1A_W02, T1A_W05,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APRKONU01: </w:t>
      </w:r>
    </w:p>
    <w:p>
      <w:pPr/>
      <w:r>
        <w:rPr/>
        <w:t xml:space="preserve">														Potrafi zbudować płaski i przestrzenny układ prętowy, zdefiniować obciążenia i ich kombinacje, przeprowadzić obliczenia, zinterpretować otrzymane wyniki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APRKONU02: </w:t>
      </w:r>
    </w:p>
    <w:p>
      <w:pPr/>
      <w:r>
        <w:rPr/>
        <w:t xml:space="preserve">														Potrafi zamodelować płytę żelbetową, zdefiniować obciążenia i ich kombinacje, przeprowadzić obliczenia, zinterpretować otrzymane wyniki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T1A_U04, T1A_U05,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APRKONK01: </w:t>
      </w:r>
    </w:p>
    <w:p>
      <w:pPr/>
      <w:r>
        <w:rPr/>
        <w:t xml:space="preserve">Potrafi współpracować w zespole przy realizacji zadań projektowch.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2026-09-08T13:15:34+02:00</dcterms:created>
  <dcterms:modified xsi:type="dcterms:W3CDTF">2026-09-08T13:15:34+02:00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