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 h; Projekt 15h;
Zapoznanie się ze wskazaną literaturą 10h;
Przygotowanie do kolokwium 25h;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- 15h;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w:t>
      </w:r>
    </w:p>
    <w:p>
      <w:pPr>
        <w:keepNext w:val="1"/>
        <w:spacing w:after="10"/>
      </w:pPr>
      <w:r>
        <w:rPr>
          <w:b/>
          <w:bCs/>
        </w:rPr>
        <w:t xml:space="preserve">Metody oceny: </w:t>
      </w:r>
    </w:p>
    <w:p>
      <w:pPr>
        <w:spacing w:before="20" w:after="190"/>
      </w:pPr>
      <w:r>
        <w:rPr/>
        <w:t xml:space="preserve">– zaliczenie wykładów – pozytywne oceny z trzech kolokwiów (ocena średnia),
– zaliczenie projektu – pozytywna ocena z opracowania projektowego.
– zaliczenie przedmiotu: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2026-09-30T21:08:24+02:00</dcterms:created>
  <dcterms:modified xsi:type="dcterms:W3CDTF">2026-09-30T21:08:24+02:00</dcterms:modified>
</cp:coreProperties>
</file>

<file path=docProps/custom.xml><?xml version="1.0" encoding="utf-8"?>
<Properties xmlns="http://schemas.openxmlformats.org/officeDocument/2006/custom-properties" xmlns:vt="http://schemas.openxmlformats.org/officeDocument/2006/docPropsVTypes"/>
</file>