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10 punktów ECTS za pracę dyplomową cz2  może nastąpić jednie w przypadku zakończenia pracy dyplomowej i pozytywnej ocenie merytorycznej przygotowanego materiału. 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formatywna następuje podczas konsultacji z promotorem; ocena sumatywna wyrażana jest w opiniach pracy promotora i recenzenta oraz podczas egzaminu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PRAD2_U01: </w:t>
      </w:r>
    </w:p>
    <w:p>
      <w:pPr/>
      <w:r>
        <w:rPr/>
        <w:t xml:space="preserve">							potrafi odnaleźć i właściwie wykorzystać źródła in-formacji, odnoszące się do obszaru problemowego pracy dyplomowej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PRAD2_U02: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PRAD2_U03: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PRAD2_K01: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aktual-ności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PRAD2_K02: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2026-09-30T19:28:19+02:00</dcterms:created>
  <dcterms:modified xsi:type="dcterms:W3CDTF">2026-09-30T19:28:19+02:00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