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ma wiedzę o metodach analizy otoczenia organizacji, metodach stosowanych przy formułowaniu i wdrażaniu strategii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ma wiedzę o procesach globalizacji we współczesnej gospodarce i przedsiębiorstwie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ma wiedzę o roli zarządzania strategicznego w procesach dostosowawczych do zmian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potrafi dokonać krytycznej oceny szans i zagrożeń w otoczeniu i słabych oraz słabych i mocnych stron i w tym kontekście zaproponować rozwiązania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potrafi zastosować analizy przypadków formułowania i wdrażania strategii organizacji firm polskich i zagranicznych o zasięgu globalnym i w małych przedsiębiorstwach działających na lokalnych rynkach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potrafi dokonać oceny skuteczności strategii przedsiębiorstwa, poszukiwać i dokonywać wyboru metod zarządzania firmą adekwatnych dla danej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ZASTR_K01: </w:t>
      </w:r>
    </w:p>
    <w:p>
      <w:pPr/>
      <w:r>
        <w:rPr/>
        <w:t xml:space="preserve">potrafi współpracować w grupach projektowych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 : </w:t>
      </w:r>
    </w:p>
    <w:p>
      <w:pPr/>
      <w:r>
        <w:rPr/>
        <w:t xml:space="preserve">jest przygotowany do negocjacji i kompromisu przy rozwiązywaniu problemów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2025-10-17T18:17:40+02:00</dcterms:created>
  <dcterms:modified xsi:type="dcterms:W3CDTF">2025-10-17T18:17:40+02:00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