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ma wiedzę o metodach analizy otoczenia organizacji, metodach stosowanych przy formułowaniu i wdrażaniu strategii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ma wiedzę o procesach globalizacji we współczesnej gospodarce i przedsiębiorstwie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ma wiedzę o roli zarządzania strategicznego w procesach dostosowawczych do zmian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potrafi dokonać krytycznej oceny szans i zagrożeń w otoczeniu i słabych oraz słabych i mocnych stron i w tym kontekście zaproponować rozwiązania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potrafi zastosować analizy przypadków formułowania i wdrażania strategii organizacji firm polskich i zagranicznych o zasięgu globalnym i w małych przedsiębiorstwach działających na lokalnych rynkach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potrafi dokonać oceny skuteczności strategii przedsiębiorstwa, poszukiwać i dokonywać wyboru metod zarządzania firmą adekwatnych dla danej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ZASTR_K01: </w:t>
      </w:r>
    </w:p>
    <w:p>
      <w:pPr/>
      <w:r>
        <w:rPr/>
        <w:t xml:space="preserve">potrafi współpracować w grupach projektowych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 : </w:t>
      </w:r>
    </w:p>
    <w:p>
      <w:pPr/>
      <w:r>
        <w:rPr/>
        <w:t xml:space="preserve">jest przygotowany do negocjacji i kompromisu przy rozwiązywaniu problemów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2026-07-29T15:44:31+02:00</dcterms:created>
  <dcterms:modified xsi:type="dcterms:W3CDTF">2026-07-29T15:44:31+02:00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