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zna specyficzne kryteria decyzyjne i formuły cenowe oraz ma wiedzę o metodach rozwiązywania typowych: </w:t>
      </w:r>
    </w:p>
    <w:p>
      <w:pPr/>
      <w:r>
        <w:rPr/>
        <w:t xml:space="preserve">ma wiedzę z zakresu podstaw rachunku i kontroli kosztów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RAZAZ_W01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zna specyficzne kryteria decyzyjne i formuły cenowe oraz ma wiedzę o metodach rozwiązywania typowych problemów decyzyjnych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ma wiedzę z zakresu budżetowania kosztów, przychodów i wyników oraz zna nowoczesne systemy pomiaru i oceny dokonań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potrafi dokonywać pomiaru kosztów i rentowności wyróżnianych obiektów, analizować poziom i strukturę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potrafi kalkulować ceny sprzedaży, górne i dolne granice cenowe oraz sporządzać rachunki alternatywnych działań i analizować ich wpływ na wynik podmiotu w okresie bieżącym i przyszłym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potrafi sporządzać budżety cząstkowe i oceniać ich wykonanie oraz mierzyć dokonania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ma świadomość braków w wiedzy własnej i/lub zdolności do jej zastosowania oraz ma potrzebę ich uzupełniania i aktualizowania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rozumie konieczność współpracy z innymi w rozwiązywaniu problemów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2026-07-29T17:01:28+02:00</dcterms:created>
  <dcterms:modified xsi:type="dcterms:W3CDTF">2026-07-29T17:01:28+02:00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