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ZAORG_W01: </w:t>
      </w:r>
    </w:p>
    <w:p>
      <w:pPr/>
      <w:r>
        <w:rPr/>
        <w:t xml:space="preserve">ma uporządkowaną wiedzę z zakresie istoty i wewnętrz-nych uwarunkowań zachowań organizacyjnych, postaw społecznych i wpływu zagrożeń na zachowania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ma uporządkowaną wiedzę w zakresie komunikacji społecznej, procesów negocjacji, procesów zmian, uwarunkowań etycznych i kulturowych procesów społecznych.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potrafi definiować i kształtować uwarunkowania zacho-wań indywidualnych, grupowych i systemowych  na potrzeby zarządzania projektami oraz zarządzania  zasobami ludzkimi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zna przykłady i rozumie przyczyny wadliwie funkcjonujących norm dotyczących pracy grupowej, zachowań przywódczych i systemów organizacyjnych, które mogą prowadzić do poważnych strat ekonomicznych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2026-03-20T15:35:52+01:00</dcterms:created>
  <dcterms:modified xsi:type="dcterms:W3CDTF">2026-03-20T15:35:52+01:00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