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 h (wykłady) + 1h (konsultacje)+ 24h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42h (wykłady) + 1h (konsultacje)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ma wiedze z zakresu prawa działalności gospodarczej, podmiotów działalności gospodarczej, prawa ubezpieczeń gospodarczych, prawa upadłościowego, postępowania układowego, umów w obrocie gospodarczym, odpowiedzialności cywilnej w prawie gospodarczym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rozumie istotę i funkcję podstawowych instytucji prawa gospodarczego i potrafi posługiwać się instrumentami prawa gospodarczego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k_U28, 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i opracowania tworzone w trakcie zajęć: </w:t>
      </w:r>
    </w:p>
    <w:p>
      <w:pPr/>
      <w:r>
        <w:rPr/>
        <w:t xml:space="preserve">docenia konieczność ciągłego uzupełniania wiedzy prawnej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PRAGO_K01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2026-10-21T21:17:31+02:00</dcterms:created>
  <dcterms:modified xsi:type="dcterms:W3CDTF">2026-10-21T21:17:31+02:00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