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 h (wykłady) + 1h (konsultacje)+ 24h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42h (wykłady) + 1h (konsultacje)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ma wiedze z zakresu prawa działalności gospodarczej, podmiotów działalności gospodarczej, prawa ubezpieczeń gospodarczych, prawa upadłościowego, postępowania układowego, umów w obrocie gospodarczym, odpowiedzialności cywilnej w prawie gospodarczym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rozumie istotę i funkcję podstawowych instytucji prawa gospodarczego i potrafi posługiwać się instrumentami prawa gospodarczego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k_U28, 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i opracowania tworzone w trakcie zajęć: </w:t>
      </w:r>
    </w:p>
    <w:p>
      <w:pPr/>
      <w:r>
        <w:rPr/>
        <w:t xml:space="preserve">docenia konieczność ciągłego uzupełniania wiedzy prawnej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PRAGO_K01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2026-07-29T22:43:12+02:00</dcterms:created>
  <dcterms:modified xsi:type="dcterms:W3CDTF">2026-07-29T22:43:12+02:00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