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 udział w wykładach: 8 x 2 godz. =16 godz., 
- udział w zajęciach projektowych: 8 x 2 godz. = 16 godz., 
- przygotowanie do zajęć projektowych: 7 x 2 godz. = 14 godz.,
- dokończenie (w domu) sprawozdań z zajęć projektowych: 7 x 3 godz. = 21 godz., 
- udział w konsultacjach związanych z realizacją projektu: 5 x 1 godz. = 5 godz. (zakładamy, że student korzysta z co trzecich konsultacji), 
- realizacja zadań projektowych: 18 godz. 
- przygotowanie do egzaminu i obecność na egzaminie: 10 godz. + 2 godz. = 12 godz.
 Łączny nakład pracy studenta wynosi zatem 102 godz.,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8 x 2 godz. =16 godz.,
- udział w zajęciach projektowych: 8 x 2 godz. = 16 godz., 
- udział w konsultacjach związanych z realizacją projektu: 5 x 1 godz. = 5 godz. 
- udział w egzaminie 2 godz. 
Nakład pracy związany z zajęciami wymagającymi bezpośredniego udziału nauczyciela wynosi zatem 39 godz., co odpowiada 1,5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 udział w zajęciach projektowych: 8 x 2 godz.= 16 godz.,
 - przygotowanie do zajęć projektowych: 7 x 2 godz. = 14 godz.,
 - dokończenie (w domu) sprawozdań z zajęć projektowych: 7 x 3 godz. = 21 godz.,
 - udział w konsultacjach związanych z realizacją projektu: 5 x 1 godz. = 5 godz. (zakładamy, że student korzysta z co trzecich konsultacji),
 - realizacja zadań projektowych: 18 godz.
 Łączny nakład pracy studenta wynosi zatem 74 godz., co odpowiada 3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zagadnień prawnych w ochronie
środowiska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Dyrektywy uzupełniające. Różne typy OOŚ: przedsięwzięcia, plany, strategie i programy, planowanie przestrzenne, przeglądy ekologiczne, pozwolenia zintegrowane. Komptencje organów.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Zaliczenie projektów –
komunikacja i dyskusja społeczna wyników ocen środowiskowych, rola i zadania wykonawców ocen środowiskowych.</w:t>
      </w:r>
    </w:p>
    <w:p>
      <w:pPr>
        <w:keepNext w:val="1"/>
        <w:spacing w:after="10"/>
      </w:pPr>
      <w:r>
        <w:rPr>
          <w:b/>
          <w:bCs/>
        </w:rPr>
        <w:t xml:space="preserve">Metody oceny: </w:t>
      </w:r>
    </w:p>
    <w:p>
      <w:pPr>
        <w:spacing w:before="20" w:after="190"/>
      </w:pPr>
      <w:r>
        <w:rPr/>
        <w:t xml:space="preserve">Wykład - egzamin pisemny
 Projekty - prezentacja i obrona oceny oddziaływania na środowisko dla obszaru testowego.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(Dz. U. Nr 199, poz. 1227.
 Ustawa Prawo Ochrony Środowiska (Dz. U. Nr 62, poz. 627 z późn. zm.) Ustawa o odpadach (Dz. U. 2013 poz. 21) Ustawa o zapobieganiu szkodom w środowisku i ich naprawie (Dz.U.2007.75.493)
 Ustawa o ochronie przyrody (Dz.U.2004.92.880)
Rozporządzenie RM z 9 listopada 2004 r. w sprawie określenia rodzajów przedsięwzięć mogących znacząco oddziaływać na środowisko oraz szczegółowych uwarunkowań związanych z kwalifikowaniem przedsięwzięcia do sporządzenia
raportu o oddziaływaniu na środowisko (Dz.U. Nr 257, poz. 2573, z późn. zm.)
 Rozporządzenie RM z dnia 9 listopada 2010r. w sprawie przedsięwzięć mogących znacząco oddziaływać na środowisko (Dz.U. Nr 213 poz.1397) – obowiązuje od dn. 15 listopada 2010 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T2A_W04</w:t>
      </w:r>
    </w:p>
    <w:p>
      <w:pPr>
        <w:keepNext w:val="1"/>
        <w:spacing w:after="10"/>
      </w:pPr>
      <w:r>
        <w:rPr>
          <w:b/>
          <w:bCs/>
        </w:rPr>
        <w:t xml:space="preserve">Efekt 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T2A_W04</w:t>
      </w:r>
    </w:p>
    <w:p>
      <w:pPr>
        <w:keepNext w:val="1"/>
        <w:spacing w:after="10"/>
      </w:pPr>
      <w:r>
        <w:rPr>
          <w:b/>
          <w:bCs/>
        </w:rPr>
        <w:t xml:space="preserve">Efekt 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U4: </w:t>
      </w:r>
    </w:p>
    <w:p>
      <w:pPr/>
      <w:r>
        <w:rPr/>
        <w:t xml:space="preserve">potrafi zaplanować i wykonać zadania badawcze pod kierunkiem opiekuna naukowego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zawodową społecznej odpowiedzialności przy ocenie oddziaływania na środowisko przedsięwzięć/planów w podejmowaniu decyzji w zakresie planowania przestrzennego prowadzonego w różnych skalach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K2: </w:t>
      </w:r>
    </w:p>
    <w:p>
      <w:pPr/>
      <w:r>
        <w:rPr/>
        <w:t xml:space="preserve">potrafi współpracować i pracować w interdyscyplinarnym zespole i podejmować
wspólne decyzje projektowe</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2026-10-02T20:32:12+02:00</dcterms:created>
  <dcterms:modified xsi:type="dcterms:W3CDTF">2026-10-02T20:32:12+02:00</dcterms:modified>
</cp:coreProperties>
</file>

<file path=docProps/custom.xml><?xml version="1.0" encoding="utf-8"?>
<Properties xmlns="http://schemas.openxmlformats.org/officeDocument/2006/custom-properties" xmlns:vt="http://schemas.openxmlformats.org/officeDocument/2006/docPropsVTypes"/>
</file>