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w gospodarce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Kupidura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GP.NMK216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zaznajomienie studenta z podstawowymi narzędziami stosowanymi w statystyce, ekonometrii, prognozowaniu i eksploracji danych. Student nabywa umiejętności wykorzystywania tych narzędzi w wybranych dziedzinach gospodarki przestrzennej, przede wszystkim w planowaniu przestrzennym.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z zakresu modeli, modelowania, symulacji. Metody tworzenia, realizacji 
i weryfikacji modeli funkcjonowania zjawisk gospodarczych i społecznych.
Modele jako narzędzia operacyjne w gospodarce przestrzennej. Modele ilościowe 
w prognozowania systemu osadniczego. Przykłady modeli i ich weryfikacji. Modele jako narzędzia prognoz demograficznych i gospodarczych oraz tworzenia scenariuszy rozwoju gospodarczego. Rola modeli w opracowaniu i testowaniu strategii rozwoju obszarów.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lub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Kupidura P. (2012). Modelowanie w gospodarce przestrzennej. skrypt do ćwiczeń
Bajerowski T. (2008). Zarządzanie przestrzenne. Teoretyczne i praktyczne aspekty prognozowania finansowych skutków opracowań planistycznych. Wydawnictwo UWM w Olsztynie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GP.SMS252_W1: </w:t>
      </w:r>
    </w:p>
    <w:p>
      <w:pPr/>
      <w:r>
        <w:rPr/>
        <w:t xml:space="preserve">znajomość różnorodnych typów modeli rzeczywistości a także metod prognozowania oraz umiejętność ich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T2A_W07, T2A_W04,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GP.SMS252_U1: </w:t>
      </w:r>
    </w:p>
    <w:p>
      <w:pPr/>
      <w:r>
        <w:rPr/>
        <w:t xml:space="preserve">Umiejętność wykorzystania odpowiednich narzędzi statystycznych do prognozowania przyszłości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S2A_U06, S2A_U07, P2A_U04</w:t>
      </w:r>
    </w:p>
    <w:p>
      <w:pPr>
        <w:keepNext w:val="1"/>
        <w:spacing w:after="10"/>
      </w:pPr>
      <w:r>
        <w:rPr>
          <w:b/>
          <w:bCs/>
        </w:rPr>
        <w:t xml:space="preserve">Efekt GP.SMS252_U2: </w:t>
      </w:r>
    </w:p>
    <w:p>
      <w:pPr/>
      <w:r>
        <w:rPr/>
        <w:t xml:space="preserve">umiejętność wykorzystania danych statystycznych oraz systemów informacji przestrzennej do modelowania i prognozowania w gospodarce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S2A_U06, S2A_U07, P2A_U04, T2A_U07, T2A_U08, T2A_U09, T2A_U10, T2A_U12,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GP.SMS252_K1: </w:t>
      </w:r>
    </w:p>
    <w:p>
      <w:pPr/>
      <w:r>
        <w:rPr/>
        <w:t xml:space="preserve">potrafi ocenić wpływ podejmowanych decyzji na wynik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2026-07-28T19:31:02+02:00</dcterms:created>
  <dcterms:modified xsi:type="dcterms:W3CDTF">2026-07-28T19:31:02+02:00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