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K_W10_UR, 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T2A_W08, T2A_W04</w:t>
      </w:r>
    </w:p>
    <w:p>
      <w:pPr>
        <w:keepNext w:val="1"/>
        <w:spacing w:after="10"/>
      </w:pPr>
      <w:r>
        <w:rPr>
          <w:b/>
          <w:bCs/>
        </w:rPr>
        <w:t xml:space="preserve">Efekt W 1: </w:t>
      </w:r>
    </w:p>
    <w:p>
      <w:pPr/>
      <w:r>
        <w:rPr/>
        <w:t xml:space="preserve">zna zagadnienia prawne dotyczące ocen oddziaływania zmierzeń inwestycyjnych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 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T2A_U15</w:t>
      </w:r>
    </w:p>
    <w:p>
      <w:pPr>
        <w:keepNext w:val="1"/>
        <w:spacing w:after="10"/>
      </w:pPr>
      <w:r>
        <w:rPr>
          <w:b/>
          <w:bCs/>
        </w:rPr>
        <w:t xml:space="preserve">Efekt U 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 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 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K 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 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 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2026-10-02T18:00:24+02:00</dcterms:created>
  <dcterms:modified xsi:type="dcterms:W3CDTF">2026-10-02T18:00:24+02:00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