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Rewitalizacja obszarów zurbanizowanych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Alina Muzioł-Węcławowicz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GPSIK.216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88 (uczestnictwo w wykładach: 15 x 1 godz. = 15 godz., przygotowanie do zajęć projektowych - analiza opracowań: 15 x 1 godz. = 15 godz., uczestnictwo w zajęciach projektowych: 15 x 1 godz. = 15 godz., udział w konsultacjach: 3 x 2 godz. = 6 godz., dokończenie projektów: 3 x 5 godz. = 15 godz., przygotowanie do kolokwiów i uczestnictwo w kolokwiach: 2 x 10 godz. + 2 x 1 godz. = 22 godz. Łączny nakład pracy studenta wynosi 88 godz., co odpowiada 3 punktom ECTS.)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38 (uczestnictwo w wykładach: 15 x 1 godz. = 15 godz., uczestnictwo w zajęciach projektowych: 15 x 1 godz. = 15 godz., udział w konsultacjach: 3 x 2 godz. = 6 godz., uczestnictwo w kolokwiach: 2 godz. Łączny nakład pracy studenta wymagający bezpośredniego uczestnictwa nauczyciela akademickiego wynosi 38 godz., co odpowiada 1,5 punktu ECTS.)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50 (przygotowanie do zajęć projektowych - analiza opracowań: 15 x 1 godz. = 15 godz., dokończenie projektów: 3 x 5 godz. = 15 godz., przygotowanie do kolokwiów: 2 x 10 godz. = 20 godz. Łączny nakład pracy studenta wynosi 50 punktów, co 1,5 punktu ECTS.)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zasadach funkcjonowania samorządu lokalnego, problemach degradacji obszarów zurbanizowanych.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koncepcją teoretyczną i praktyką rewitalizacji miast, podkreślenie interdyscyplinarności rewitalizacji, jej roli jako metody rozwoju miast w kontekście współczesnych wyzwań ekonomicznych, społecznych i środowiskowych. Rozeznanie projektów rewitalizacji pod względem zakresu merytorycznego, zasad finansowania, organizacji oraz zdobycie umiejętności analizy wybranego projektu realizowanego w ramach lokalnego programu rewitalizacji i opracowania własnej propozycji założeń do projektu rewitalizacji w danym mieście.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Pojęcie rewitalizacji, procesy degradacji przestrzeni zurbanizowanej, obszary kryzysowe w gminach – aspekty przestrzenne, społeczne i kulturowe, ekonomiczne, techniczne
2. Rewitalizacja w polityce UE, rządowej i samorządowej – koncepcje, powiązania 
3. Uwarunkowania i specyfika rewitalizacji w Polsce
4. Opracowywanie i wdrażanie lokalnych programów rewitalizacji, monitoring i ewaluacja
5. Partycypacja społeczna w rewitalizacji
6. Finansowanie rewitalizacji
7. Zarządzanie rewitalizacją
8. Wybrane zagadnienia rewitalizacji obszarów zdegradowanych w krajach UE. 
ĆWICZENIA PROJ.:
1. Analiza i ocena wybranych projektów rewitalizacji
2. Opracowanie wybranych elementów projektu rewitalizacji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zajęć. Warunkiem zaliczenia wykładu jest uzyskanie pozytywnych ocen z dwóch kolokwiów pisemnych; pierwsze kolokwium odbywa się w połowie cyklu wykładów, drugie – pod koniec; terminy kolokwiów ustala wykładowca. Ocenę łączną z przedmiotu ustala się licząc średnią arytmetyczną z dwóch kolokwiów (waga 75 %) i średnią arytmetyczną z wykonanych ćwiczeń projektowych (waga 25%), przy czym oba rodzaje zajęć wpływające na ocenę łączną muszą być zaliczone.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Podręcznik rewitalizacji. Zasady, procedury i metody działania współczesnych procesów rewitalizacji, 2003, GTZ, UMiRM, Warszawa.
2. Carl A. Heller, 2004, Rewitalizacja obszarów miejskich. Praktyczny przewodnik: Jak opracować lokalny plan rozwoju?, MRR, Warszawa
3. Jarczewski W. (red.), 2009, Przestrzenne aspekty rewitalizacji – śródmieścia, blokowiska, tereny poprze-mysłowe, pokolejowe i powojskowe, IRM, Kraków 
4. Siemiński W., Topczewska T., 2009, Rewitalizacja miast w Polsce przy wsparciu funduszami UE w latach 2004 – 2008, Difin, Warszawa
5. Muzioł-Węcławowicz A., (red.) 2010, Przykłady rewitalizacji miast, IRM, Kraków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www.gospodarkaprzestrzenna.pw.edu.pl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zagadnienie interdyscyplinarności i kompleksowości procesu rewitalizacji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delimitacji obszaru kryzysowego w mieście, rozumie potrzebę dizałań na rzecz wyprowadzenia obszaru i społęczności ze stanu kryzysowego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rodzaje projektów rewitalzaicji w poszczególnych dziedzinach społecznych i ekonomicznych, oreintuje się w zasadach zarządzania projektami i ich finansowania nzych ma podstawową wiedzę o zasadach działania samorządu terytorialnego w Polsce i zna podstawy gospodarki finansowej jednostek samorządu terytorialnego, zna funkcje oraz zadania samorządu terytorialnego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partycypacji społecznej i rozumie ich rangę w dizałaniach rewitalizacyjnych rganziacyjne, finanoswe uwarunkowania projektów i programów rewitalizacji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na temat dostępności środków UE na finansowanie projektów i programów rewitalizacji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harmonogram i założenia prac nad wybranym projektem rewitalizacji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zaproponować alternatywne żródła finansowania projektu rewitalizacji i analizować dostępność tych źródeł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S01: </w:t>
      </w:r>
    </w:p>
    <w:p>
      <w:pPr/>
      <w:r>
        <w:rPr/>
        <w:t xml:space="preserve">ma świadomość standardu i kultury prowadzenia konsultacji społecznych w sprawach proponowanych inicjatyw a pracę własną oraz gotowość podporządkowania się zasadom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S03: </w:t>
      </w:r>
    </w:p>
    <w:p>
      <w:pPr/>
      <w:r>
        <w:rPr/>
        <w:t xml:space="preserve">potrafi zgromadzić dane o specyfice uwarunkowań rozwojowych i przyczynach degrdacji wybranego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2026-10-01T21:05:10+02:00</dcterms:created>
  <dcterms:modified xsi:type="dcterms:W3CDTF">2026-10-01T21:05:10+02:00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