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Marketing terytorialny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Jadwiga Szymańska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 x 1 godz. = 15 godz., 
- udział w konsultacjach 15x 1godz = 15 godz.
- przygotowanie do zaliczenia i obecność na zaliczeniu: 17 godz. + 3 godz. = 20 godz. 
Łączny nakład pracy studenta wynosi zatem 50 godz.,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udział w wykładach: 15 x 1 godz. = 15 godz., 
- udział  w  konsultacjach 15 x 2 = 30 godz.
- obecność na zaliczeniu: 3 godz. = 3 godz. 
Łączny nakład pracy studenta wynosi 48 godz.,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ekonomii, funkcjonowanie samorządu terytorialnego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na temat podstaw marketingu, produktu terytorialnego, narzędzi marketingowych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Marketing – podstawowe pojęcia. Marketing – mix.
Psychologiczne aspekty marketingu.
Istota  marketingu terytorialnego. 
Marka kraju, marka regionu. 
Instrumenty terytorialnego marketingu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Simon Anholt. Tożsamość konkurencyjna. Nowe spojrzenie na markę, Warszawa, 2007.
2. Gospodarka regionalna i lokalna, red. Z. Strzelecki, PWN, Warszawa 2009.
3. Wally Olins, O marce, Instytut Marki Polskiej, Wyd. I, Warszawa 2004.
4. Andrzej Szromnik, Marketing terytorialny. Miasto i region na rynku, Oficyna a Wolters  Kluwer business, Kraków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w_1: </w:t>
      </w:r>
    </w:p>
    <w:p>
      <w:pPr/>
      <w:r>
        <w:rPr/>
        <w:t xml:space="preserve">Zna instrumenty marketingu terytorialnego i ich zastosowanie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</w:t>
      </w:r>
    </w:p>
    <w:p>
      <w:pPr>
        <w:keepNext w:val="1"/>
        <w:spacing w:after="10"/>
      </w:pPr>
      <w:r>
        <w:rPr>
          <w:b/>
          <w:bCs/>
        </w:rPr>
        <w:t xml:space="preserve">Efekt w_2: </w:t>
      </w:r>
    </w:p>
    <w:p>
      <w:pPr/>
      <w:r>
        <w:rPr/>
        <w:t xml:space="preserve">Rozumie istotę marketingu terytorialnego i jego wpływ na rozwój regionalny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w_3: </w:t>
      </w:r>
    </w:p>
    <w:p>
      <w:pPr/>
      <w:r>
        <w:rPr/>
        <w:t xml:space="preserve">Ma interdyscyplinarną wiedzę dotycząca działalności inżynierskiej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keepNext w:val="1"/>
        <w:spacing w:after="10"/>
      </w:pPr>
      <w:r>
        <w:rPr>
          <w:b/>
          <w:bCs/>
        </w:rPr>
        <w:t xml:space="preserve">Efekt w_4: </w:t>
      </w:r>
    </w:p>
    <w:p>
      <w:pPr/>
      <w:r>
        <w:rPr/>
        <w:t xml:space="preserve">Ma wiedzę o interdyscyplinarności procesu planowania i zarządzania w kraju i w Europie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u_3: </w:t>
      </w:r>
    </w:p>
    <w:p>
      <w:pPr/>
      <w:r>
        <w:rPr/>
        <w:t xml:space="preserve">Wie jak analizować uwarunkowania procesu planowania przestrzennego związane z marketingiem terytorialnym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S2A_U03, T2A_U10</w:t>
      </w:r>
    </w:p>
    <w:p>
      <w:pPr>
        <w:keepNext w:val="1"/>
        <w:spacing w:after="10"/>
      </w:pPr>
      <w:r>
        <w:rPr>
          <w:b/>
          <w:bCs/>
        </w:rPr>
        <w:t xml:space="preserve">Efekt u_4: </w:t>
      </w:r>
    </w:p>
    <w:p>
      <w:pPr/>
      <w:r>
        <w:rPr/>
        <w:t xml:space="preserve">Potrafi analizować wieloaspektowość procesu planowania przestrzennego, w tym aspekty marketingowe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k_1: </w:t>
      </w:r>
    </w:p>
    <w:p>
      <w:pPr/>
      <w:r>
        <w:rPr/>
        <w:t xml:space="preserve">Jest świadomy skutków swojej działalności
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k_2: </w:t>
      </w:r>
    </w:p>
    <w:p>
      <w:pPr/>
      <w:r>
        <w:rPr/>
        <w:t xml:space="preserve">Potrafi uwzględniać różne kierunki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k_3: </w:t>
      </w:r>
    </w:p>
    <w:p>
      <w:pPr/>
      <w:r>
        <w:rPr/>
        <w:t xml:space="preserve">K3
Potrafi uwzględniać różne kierunki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p>
      <w:pPr>
        <w:keepNext w:val="1"/>
        <w:spacing w:after="10"/>
      </w:pPr>
      <w:r>
        <w:rPr>
          <w:b/>
          <w:bCs/>
        </w:rPr>
        <w:t xml:space="preserve">Efekt k_4: </w:t>
      </w:r>
    </w:p>
    <w:p>
      <w:pPr/>
      <w:r>
        <w:rPr/>
        <w:t xml:space="preserve">Potrafi przewidywać różnorodne skutki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2026-07-28T14:38:25+02:00</dcterms:created>
  <dcterms:modified xsi:type="dcterms:W3CDTF">2026-07-28T14:38:25+02:00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