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przestrzenna w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Jadwiga Szymańska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1 godz. = 15 godz., 
- przygotowanie do zaliczenia i obecność na zaliczeniu: 7 godz. + 3 godz. = 10 godz. 
Łączny nakład pracy studenta wynosi zatem 25 godz.,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15 x 1 godz. = 15 godz., 
- udział  w  konsultacjach 7 x1 = 7 godz.
- obecność na zaliczeniu: 3 godz. = 3 godz. 
Łączny nakład pracy studenta wynosi 25 godz., co odpowiada1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Unii Europejskiej i samorządzie terytorialnym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polityce  przestrzennej Unii Europejskiej oraz systemach planowania przestrzennego w wybranych krajach członkowskich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Przestrzeń, gospodarka przestrzenna, polityka przestrzenna
Uwarunkowania gospodarki przestrzennej
Przestrzeń polska w ujęciu historycznym
Samorząd terytorialny w krajach Unii Europejskiej: 	Dania, Szwecja, Finlandia
Planowanie przestrzenne w wybranych krajach Unii Europejskiej: Dania, Szwecja, Finlandia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Gospodarka przestrzenna w krajach Unii Europejskiej, akty prawne, komentarze, mapy, statystyka, red. M. Czornik, część 1 i 2, Uniwersytet Ekonomiczny Katowice,  2011.
2. System planowania przestrzennego i jego rola w strategicznym zarządzaniu rozwojem kraju, red. T. Markowski, P. Żuber,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w_1: </w:t>
      </w:r>
    </w:p>
    <w:p>
      <w:pPr/>
      <w:r>
        <w:rPr/>
        <w:t xml:space="preserve">Zna i rozumie działanie samorządów terytorialnych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w_2: </w:t>
      </w:r>
    </w:p>
    <w:p>
      <w:pPr/>
      <w:r>
        <w:rPr/>
        <w:t xml:space="preserve">Zna i rozumie proces planowania przestrzennego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w_3: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kolkowium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w_4: </w:t>
      </w:r>
    </w:p>
    <w:p>
      <w:pPr/>
      <w:r>
        <w:rPr/>
        <w:t xml:space="preserve">Ma wiedzę o interdyscyplinarności 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u_1: </w:t>
      </w:r>
    </w:p>
    <w:p>
      <w:pPr/>
      <w:r>
        <w:rPr/>
        <w:t xml:space="preserve">Potrafi tworzyć  opracowania z merytorycznymi argumentami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kolkowium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u_2: </w:t>
      </w:r>
    </w:p>
    <w:p>
      <w:pPr/>
      <w:r>
        <w:rPr/>
        <w:t xml:space="preserve">Potrafi  wyciągać syntetyczne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u_3: </w:t>
      </w:r>
    </w:p>
    <w:p>
      <w:pPr/>
      <w:r>
        <w:rPr/>
        <w:t xml:space="preserve">Wie jak analizować różnorodne uwarunkowania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T2A_U10</w:t>
      </w:r>
    </w:p>
    <w:p>
      <w:pPr>
        <w:keepNext w:val="1"/>
        <w:spacing w:after="10"/>
      </w:pPr>
      <w:r>
        <w:rPr>
          <w:b/>
          <w:bCs/>
        </w:rPr>
        <w:t xml:space="preserve">Efekt u_4: </w:t>
      </w:r>
    </w:p>
    <w:p>
      <w:pPr/>
      <w:r>
        <w:rPr/>
        <w:t xml:space="preserve">Potrafi analizować wieloaspektowość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k_2: </w:t>
      </w:r>
    </w:p>
    <w:p>
      <w:pPr/>
      <w:r>
        <w:rPr/>
        <w:t xml:space="preserve">Ma poczucie zawodowej odpowiedzialności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k_3: </w:t>
      </w:r>
    </w:p>
    <w:p>
      <w:pPr/>
      <w:r>
        <w:rPr/>
        <w:t xml:space="preserve">
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k_4: </w:t>
      </w:r>
    </w:p>
    <w:p>
      <w:pPr/>
      <w:r>
        <w:rPr/>
        <w:t xml:space="preserve">Potrafi uwzględniać różne kierunki swojej działalności
Potrafi przewidywać różnorodne skutki 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2026-09-11T16:38:45+02:00</dcterms:created>
  <dcterms:modified xsi:type="dcterms:W3CDTF">2026-09-11T16:38:45+02:00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