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przestrzenna w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 godz. = 15 godz., 
- przygotowanie do zaliczenia i obecność na zaliczeniu: 7 godz. + 3 godz. = 10 godz. 
Łączny nakład pracy studenta wynosi zatem 25 godz., co odpowiada 1 punktowi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
- udział w wykładach: 15 x 1 godz. = 15 godz., 
- udział  w  konsultacjach 7 x1 = 7 godz.
- obecność na zaliczeniu: 3 godz. = 3 godz. 
Łączny nakład pracy studenta wynosi 25 godz., co odpowiada  1 punktowi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Unii Europejskiej i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polityce  przestrzennej Unii Europejskiej oraz systemach planowania przestrzennego w wybranych krajach członkowskich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Gospodarka przestrzenna – podstawowe pojęcia
Samorząd terytorialny w wybranych krajach Unii Europejskiej: Francja, Wielka Brytania, Holandia, Niemcy, Czechy
Przestrzeń europejska - zróżnicowanie przestrzenne krajów UE
Planowanie przestrzenne wybranych krajach Unii Europejskiej: Francja, Wielka Brytania, Holandia, Niemcy, Czechy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A. Gorzym Wilkowski, Gospodarka przestrzenna samorządu terytorialnego, zarys, Wydawnictwo Uniwersytetu Marii Curie-Skłodowskiej, wyd. 1. Lublin 2006;
2. Samorząd terytorialny w Europie Zachodniej, red. L. Rajca, Dom Wydawniczy Elipsa, wyd.1, Warszawa 2010;
3. J. Wojnicki, Samorządy lokalne w Polsce i w Europie, Wydawnictwo Akademii Humanistycznej im. Aleksandra Gieysztora, wyd.1, Pułtusk 2008;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 rozumie działanie samorządów terytorialnych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Zna i rozumie proces planowania przestrzennego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w_4: </w:t>
      </w:r>
    </w:p>
    <w:p>
      <w:pPr/>
      <w:r>
        <w:rPr/>
        <w:t xml:space="preserve">Ma wiedzę o interdyscyplinarności 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Potrafi tworzyć  opracowania z merytorycznymi argumentami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 wyciągać syntetyczne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u_3: </w:t>
      </w:r>
    </w:p>
    <w:p>
      <w:pPr/>
      <w:r>
        <w:rPr/>
        <w:t xml:space="preserve">Wie jak analizować różnorodne uwarunkowania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keepNext w:val="1"/>
        <w:spacing w:after="10"/>
      </w:pPr>
      <w:r>
        <w:rPr>
          <w:b/>
          <w:bCs/>
        </w:rPr>
        <w:t xml:space="preserve">Efekt u_4: </w:t>
      </w:r>
    </w:p>
    <w:p>
      <w:pPr/>
      <w:r>
        <w:rPr/>
        <w:t xml:space="preserve">Potrafi analizować wieloaspektowość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Ma poczucie zawodowej odpowiedzialności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Potrafi przewidywać różnorodne skutki 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2026-09-12T00:23:27+02:00</dcterms:created>
  <dcterms:modified xsi:type="dcterms:W3CDTF">2026-09-12T00:23:27+02:00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