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godz., 
- przygotowanie do zajęć, studiowanie literatury: 15 godz.
- konsultacje: 5 godz.
- przygotowanie do zaliczenia i obecność na zaliczeniu: 20 godz. + 3 godz. = 23 godz. 
Łączny nakład pracy studenta wynosi zatem 73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10 x 3 godz. = 30 godz., 
- udział  w  konsultacjach:  15 x  1  godz.  =  15 godz.  
- obecność na zaliczeniu: 3 godz. = 3 godz. 
Łączny nakład wynosi 68 godz.,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Istota procesu społecznego wytwarzanie przestrzeni.
Współczesne przemiany przestrzeni publicznej- cechy przestrzeni publicznej, ewolucja przestrzeni publicznej, przykłady przekształceń przestrzeni publicznej.
Gra o przestrzeń - przyczyny i uwarunkowania
Istota konflktów społecznych 
Ład przestrzenny, hierarchie ładu, wieloaspektowość i zaburzanie ładu przestrzennego. 
Współczesne miasto - podziały przestrzenne i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SCHOLAR.
2. Izdebski Hubert (2013), Ideologia i zagospodarowanie przestrzeni, Warszawa, LEX, Wolters Kluwer business.
3. Jałowiecki Bohdan (2007), Fragmentaryzacja i prywatyzacja przestrzeni, W: Jałowiecki  Bohdan, Łukowski Wojciech (red), Gettoizacja polskiej  przestrzeni miejskiej, Warszawa, Scholar.
4. Jałowiecki Bogdan, (2010), Społeczne wytwarzanie przestrzeni, Warszawa, Wydawnictwo Naukowe Scholar. 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Urbanista. 
6. Majer Andrzej (2010), Socjologia i przestrzeń miejska, Warszawa,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różnorodne skutki gospodarowania przestrzenią przez człowieka, grupę społeczną, społeczeństwo.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samodzielnie i w grupie przygotować prezentację zagadnień związanych ze społeczno -kulturowymi czynnikami kształtowania przestrzeni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analizować dokumenty i opracowywać 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u_7: </w:t>
      </w:r>
    </w:p>
    <w:p>
      <w:pPr/>
      <w:r>
        <w:rPr/>
        <w:t xml:space="preserve">Potrafi analizować różne systemy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u_8: </w:t>
      </w:r>
    </w:p>
    <w:p>
      <w:pPr/>
      <w:r>
        <w:rPr/>
        <w:t xml:space="preserve">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Rozumie koniecznośc stłaego podnoszenia kompetencji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Rozumie pozatechniczne skutki działalności inżyniera w gospodarce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k_5: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k_6: </w:t>
      </w:r>
    </w:p>
    <w:p>
      <w:pPr/>
      <w:r>
        <w:rPr/>
        <w:t xml:space="preserve">Rozumie konieczność poszanowania różnorodności w społeczeństwie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2026-10-01T11:13:12+02:00</dcterms:created>
  <dcterms:modified xsi:type="dcterms:W3CDTF">2026-10-01T11:13:12+02:00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