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K_W19: </w:t>
      </w:r>
    </w:p>
    <w:p>
      <w:pPr/>
      <w:r>
        <w:rPr/>
        <w:t xml:space="preserve">ma podstawowa wiedzę o środowisku zamieszkania pozwalającą na programowanie i określanie parametrów i programów rozwoju przestrzennego rozpoznanego terenu w zakresie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K_W22: </w:t>
      </w:r>
    </w:p>
    <w:p>
      <w:pPr/>
      <w:r>
        <w:rPr/>
        <w:t xml:space="preserve">ma wiedzę o celach planowania infrastruktury technicznej oraz uregulowaniach prawnych dotyczacych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K_W24: </w:t>
      </w:r>
    </w:p>
    <w:p>
      <w:pPr/>
      <w:r>
        <w:rPr/>
        <w:t xml:space="preserve">ma podstawową wiedze niezbędną do rozumienia społecznych, ekonomicznyc, prawnych i technicznych aspektów gospodarowania i administrowania infrastrukturą techniczną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przygotować i przedstawić krótką prezentację poświęconą wynikom realizacji zadania inzynierskiego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stosując podstawowe techniki informacyjno-komunkacyjne potrafi przedstawiś istniejący i planowany stan zagospodarowania terenu w zakresie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K_U17: </w:t>
      </w:r>
    </w:p>
    <w:p>
      <w:pPr/>
      <w:r>
        <w:rPr/>
        <w:t xml:space="preserve">potrafi wykonać rysunek miejscowego planu zagospodarowanie przestzrennego wybranego terenu w zakresie infrastruktury techniczne  przy zastosowaniu obowiazujących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świadomość ważności i rozumie pozatechniczne aspekty i skutki działalności inzyniera gospodarki przestrzennej, w tym jej wpływ na środowisko i związana z tm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potrafi nawiązać kontakt z róznymi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ma wyrobioną świadomość zawodowej i społecznej odpowiedzialności przy podejmowaniu decyzji administracyjnych odnoszących się do lokalizacji inestycji w infrastrukturę techniczną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2026-08-19T14:54:15+02:00</dcterms:created>
  <dcterms:modified xsi:type="dcterms:W3CDTF">2026-08-19T14:54:15+02:00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