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GPSIK.216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(uczestnictwo w wykładach: 15 x 1 godz. = 15 godz., przygotowanie do zajęć projektowych - analiza opracowań: 15 x 1 godz. = 15 godz., uczestnictwo w zajęciach projektowych: 15 x 1 godz. = 15 godz., udział w konsultacjach: 3 x 2 godz. = 6 godz., dokończenie projektów: 3 x 5 godz. = 15 godz., przygotowanie do kolokwiów i uczestnictwo w kolokwiach: 2 x 10 godz. + 2 x 1 godz. = 22 godz. Łączny nakład pracy studenta wynosi 88 godz., co odpowiada 3 punktom ECTS.)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38 (uczestnictwo w wykładach: 15 x 1 godz. = 15 godz., uczestnictwo w zajęciach projektowych: 15 x 1 godz. = 15 godz., udział w konsultacjach: 3 x 2 godz. = 6 godz., uczestnictwo w kolokwiach: 2 godz. Łączny nakład pracy studenta wymagający bezpośredniego uczestnictwa nauczyciela akademickiego wynosi 38 godz., co odpowiada 1,5 punktu ECTS.)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50 (przygotowanie do zajęć projektowych - analiza opracowań: 15 x 1 godz. = 15 godz., dokończenie projektów: 3 x 5 godz. = 15 godz., przygotowanie do kolokwiów: 2 x 10 godz. = 20 godz. Łączny nakład pracy studenta wynosi 50 punktów, co 1,5 punktu ECTS.)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samorządu lokalnego, problemach degradacji obszarów zurbanizowanych.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oraz zdobycie umiejętności analizy wybranego projektu realizowanego w ramach lokalnego programu rewitalizacji i opracowania własnej propozycji założeń do projektu rewitalizacji w danym mieście.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zagadnienie interdyscyplinarności i kompleksowości procesu rewitalizacji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delimitacji obszaru kryzysowego w mieście, rozumie potrzebę dizałań na rzecz wyprowadzenia obszaru i społęczności ze stanu kryzysowego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rodzaje projektów rewitalzaicji w poszczególnych dziedzinach społecznych i ekonomicznych, oreintuje się w zasadach zarządzania projektami i ich finansowania nzych ma podstawową wiedzę o zasadach działania samorządu terytorialnego w Polsce i zna podstawy gospodarki finansowej jednostek samorządu terytorialnego, zna funkcje oraz zadania samorządu terytorialnego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partycypacji społecznej i rozumie ich rangę w dizałaniach rewitalizacyjnych rganziacyjne, finanoswe uwarunkowania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na temat dostępności środków UE na finansowanie projektów i programów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harmonogram i założenia prac nad wybranym projektem rewitalizacji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alternatywne żródła finansowania projektu rewitalizacji i analizować dostępność tych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S01: </w:t>
      </w:r>
    </w:p>
    <w:p>
      <w:pPr/>
      <w:r>
        <w:rPr/>
        <w:t xml:space="preserve">ma świadomość standardu i kultury prowadzenia konsultacji społecznych w sprawach proponowanych inicjatyw 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S03: </w:t>
      </w:r>
    </w:p>
    <w:p>
      <w:pPr/>
      <w:r>
        <w:rPr/>
        <w:t xml:space="preserve">potrafi zgromadzić dane o specyfice uwarunkowań rozwojowych i przyczynach degrdacji wybranego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2026-01-13T16:18:28+01:00</dcterms:created>
  <dcterms:modified xsi:type="dcterms:W3CDTF">2026-01-13T16:18:28+01:00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