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GK.SIJ2_W01: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GK.SIJ2_U01: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T1A_U01, T1A_U01, T1A_U06</w:t>
      </w:r>
    </w:p>
    <w:p>
      <w:pPr>
        <w:pStyle w:val="Heading3"/>
      </w:pPr>
      <w:bookmarkStart w:id="4" w:name="_Toc4"/>
      <w:r>
        <w:t>Profil ogólnoakademicki - kompetencje społeczne</w:t>
      </w:r>
      <w:bookmarkEnd w:id="4"/>
    </w:p>
    <w:p>
      <w:pPr>
        <w:keepNext w:val="1"/>
        <w:spacing w:after="10"/>
      </w:pPr>
      <w:r>
        <w:rPr>
          <w:b/>
          <w:bCs/>
        </w:rPr>
        <w:t xml:space="preserve">Efekt GK.SIJ2_K01: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2026-10-01T13:51:27+02:00</dcterms:created>
  <dcterms:modified xsi:type="dcterms:W3CDTF">2026-10-01T13:51:27+02:00</dcterms:modified>
</cp:coreProperties>
</file>

<file path=docProps/custom.xml><?xml version="1.0" encoding="utf-8"?>
<Properties xmlns="http://schemas.openxmlformats.org/officeDocument/2006/custom-properties" xmlns:vt="http://schemas.openxmlformats.org/officeDocument/2006/docPropsVTypes"/>
</file>