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uczestnictwo w wykładach - 30 godzin,
b) udział w konsultacjach - 5 godzin.
2) Praca własna studenta - 40 godzin, w tym:
a) przygotowanie do zajęć - 10 godzin,
b) przygotowanie do sprawdzianów - 30 godzin.
Razem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punkta ECTS - 35 godzin, w tym:
a) uczestnictwo w wykładach - 30 godzin,
b) udział w konsultacjach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prawa cywilnego i administracyjnego, katastru nieruchomości oraz podstaw gospodarki gruntami na obszarach wiejskich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prawnych gospodarowania nieruchomościami Skarbu Państwa i jednostek samorządu terytorialnego, wywłaszczania nieruchomości oraz nabywania nieruchomości dla realizacji celów publicznych w trybie przepisów szczególnych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Kompetencje organów administracji publicznej w zakresie gospodarowania nieruchomościami. Zasoby nieruchomości. Cele publiczne w gospodarce nieruchomościami. 
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semestru,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Zofia Śmiałowska-Uberman – Kompendium wiedzy prawnej dla geodetów, Wyd. Gall 2003r. 2. Ryszard Hycner – Zagadnienia geodezyjno-prawne w gospodarce nieruchomościami – Wyd. Gall 2006r. 3. Tadeusz Woś – Wywłaszczenie i zwrot nieruchomości – Wyd. PWN 1998r. 4. Gerard Bieniek, Zenon Marmaj - Użytkowanie wieczyste w praktyce, problematyka prawna – ZCO 1999r. 5. Ustawa z dnia 21 sierpnia 1997r.o gospodarce nieruchomościami – Dz. U. z 2004r. nr 261, poz. 2603 z późn. zm. 6. Przepisy wykonawcze i standardy techniczne.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GK.SIK718_K01: </w:t>
      </w:r>
    </w:p>
    <w:p>
      <w:pPr/>
      <w:r>
        <w:rPr/>
        <w:t xml:space="preserve">rozumie potrzebę i zna możliwości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GK.SIK718_W01: </w:t>
      </w:r>
    </w:p>
    <w:p>
      <w:pPr/>
      <w:r>
        <w:rPr/>
        <w:t xml:space="preserve">ma podstawową wiedzę techniczną i prawną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GK.SIK718_U01: </w:t>
      </w:r>
    </w:p>
    <w:p>
      <w:pPr/>
      <w:r>
        <w:rPr/>
        <w:t xml:space="preserve">potrafi pracować indywidualnie i w zespole, 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T1A_U13,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2026-10-01T17:17:19+02:00</dcterms:created>
  <dcterms:modified xsi:type="dcterms:W3CDTF">2026-10-01T17:17:19+02:00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