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TR.NIP630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18 godz., zapoznanie się ze wskazana literaturą 16 godz., przygotowanie do egzaminu 10 godz., udział w egzaminie 2 godz., konsultacje z wykładowcą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godziny wykładu 18 godz., udział w egzaminie 2 godz., konsultacje z wykładowcą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wskazanej literatury</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 InzA_U05</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Tr1A_U24, Tr1A_U14</w:t>
      </w:r>
    </w:p>
    <w:p>
      <w:pPr>
        <w:spacing w:before="20" w:after="190"/>
      </w:pPr>
      <w:r>
        <w:rPr>
          <w:b/>
          <w:bCs/>
        </w:rPr>
        <w:t xml:space="preserve">Powiązane efekty obszarowe: </w:t>
      </w:r>
      <w:r>
        <w:rPr/>
        <w:t xml:space="preserve">T1A_U16, InzA_U08, 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2026-09-30T15:50:32+02:00</dcterms:created>
  <dcterms:modified xsi:type="dcterms:W3CDTF">2026-09-30T15:50:32+02:00</dcterms:modified>
</cp:coreProperties>
</file>

<file path=docProps/custom.xml><?xml version="1.0" encoding="utf-8"?>
<Properties xmlns="http://schemas.openxmlformats.org/officeDocument/2006/custom-properties" xmlns:vt="http://schemas.openxmlformats.org/officeDocument/2006/docPropsVTypes"/>
</file>