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przewozów I (obieralny)</w:t>
      </w:r>
    </w:p>
    <w:p>
      <w:pPr>
        <w:keepNext w:val="1"/>
        <w:spacing w:after="10"/>
      </w:pPr>
      <w:r>
        <w:rPr>
          <w:b/>
          <w:bCs/>
        </w:rPr>
        <w:t xml:space="preserve">Koordynator przedmiotu: </w:t>
      </w:r>
    </w:p>
    <w:p>
      <w:pPr>
        <w:spacing w:before="20" w:after="190"/>
      </w:pPr>
      <w:r>
        <w:rPr/>
        <w:t xml:space="preserve">dr inż. Sławomir Tkaczyk, adiunkt,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TR.NIS619</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zajęciach 18 godz., studiowanie literatury przedmiotu około 21 godz., konsultacje 3 godz., udział w egzaminach 2 godz., przygotowanie się do egzaminu około 16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(23 godziny, w tym: praca na zajęciach 18 godz., konsultacje 3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Zależnie od wybranego przedmiotu</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wiedzy dotyczącej wybranych zagadnień dotyczących technologii oraz organizacji przewozów samochodowych lub kolejowych</w:t>
      </w:r>
    </w:p>
    <w:p>
      <w:pPr>
        <w:keepNext w:val="1"/>
        <w:spacing w:after="10"/>
      </w:pPr>
      <w:r>
        <w:rPr>
          <w:b/>
          <w:bCs/>
        </w:rPr>
        <w:t xml:space="preserve">Treści kształcenia: </w:t>
      </w:r>
    </w:p>
    <w:p>
      <w:pPr>
        <w:spacing w:before="20" w:after="190"/>
      </w:pPr>
      <w:r>
        <w:rPr/>
        <w:t xml:space="preserve">Według programu wybranego przedmiotu</w:t>
      </w:r>
    </w:p>
    <w:p>
      <w:pPr>
        <w:keepNext w:val="1"/>
        <w:spacing w:after="10"/>
      </w:pPr>
      <w:r>
        <w:rPr>
          <w:b/>
          <w:bCs/>
        </w:rPr>
        <w:t xml:space="preserve">Metody oceny: </w:t>
      </w:r>
    </w:p>
    <w:p>
      <w:pPr>
        <w:spacing w:before="20" w:after="190"/>
      </w:pPr>
      <w:r>
        <w:rPr/>
        <w:t xml:space="preserve">Egzamin, zasady zależne od wybranego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Zależnie od wybranego przedmiotu</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Zgodnie z deklaracją w ramach modułu "Technologia przewozów I, II (obieralny)" student realizuje przedmiot "Technologia pasażerskich przewozów kolejowych I" oraz przedmiot "Technologia towarowych przewozów kolejowych I" albo moduł "Technologia transportu samochodowego I, II" (w przypadku wyboru modułu "Technologia transportu samochodowego I, II" w semestrze 6 realizowanych jest 15 godzin wykładu oraz 15 godzin ćwiczeń)</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szczegółową wiedzę dotyczącą wybranych zagadnień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W02: </w:t>
      </w:r>
    </w:p>
    <w:p>
      <w:pPr/>
      <w:r>
        <w:rPr/>
        <w:t xml:space="preserve">Zna metody i techniki stosowane do rozwiązywania prostych zadań inżynierskich w zakresie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 InzA_W02, InzA_W03</w:t>
      </w:r>
    </w:p>
    <w:p>
      <w:pPr>
        <w:keepNext w:val="1"/>
        <w:spacing w:after="10"/>
      </w:pPr>
      <w:r>
        <w:rPr>
          <w:b/>
          <w:bCs/>
        </w:rPr>
        <w:t xml:space="preserve">Efekt W03: </w:t>
      </w:r>
    </w:p>
    <w:p>
      <w:pPr/>
      <w:r>
        <w:rPr/>
        <w:t xml:space="preserve">Ma wiedzę niezbędną do rozumienia pozatechnicznych aspektów projektowania rozwiązań technologicznych w transporcie drogowym lub kolejowym</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Tr1A_W13</w:t>
      </w:r>
    </w:p>
    <w:p>
      <w:pPr>
        <w:spacing w:before="20" w:after="190"/>
      </w:pPr>
      <w:r>
        <w:rPr>
          <w:b/>
          <w:bCs/>
        </w:rPr>
        <w:t xml:space="preserve">Powiązane efekty obszarowe: </w:t>
      </w:r>
      <w:r>
        <w:rPr/>
        <w:t xml:space="preserve">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wykorzystać metody analityczne, symulacyjne oraz eksperymentalne do formułowania i rozwiązywania zadań inżynierskich właściwych dla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Tr1A_U20</w:t>
      </w:r>
    </w:p>
    <w:p>
      <w:pPr>
        <w:spacing w:before="20" w:after="190"/>
      </w:pPr>
      <w:r>
        <w:rPr>
          <w:b/>
          <w:bCs/>
        </w:rPr>
        <w:t xml:space="preserve">Powiązane efekty obszarowe: </w:t>
      </w:r>
      <w:r>
        <w:rPr/>
        <w:t xml:space="preserve">T1A_U14, InzA_U06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2025-05-03T15:24:28+02:00</dcterms:created>
  <dcterms:modified xsi:type="dcterms:W3CDTF">2025-05-03T15:24:28+02:00</dcterms:modified>
</cp:coreProperties>
</file>

<file path=docProps/custom.xml><?xml version="1.0" encoding="utf-8"?>
<Properties xmlns="http://schemas.openxmlformats.org/officeDocument/2006/custom-properties" xmlns:vt="http://schemas.openxmlformats.org/officeDocument/2006/docPropsVTypes"/>
</file>