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godzin, w tym: praca na wykładach 30 godz., praca na ćwiczeniach audytoryjnych 15 godz., studiowanie literatury przedmiotu 14 godz., przygotowanie do sprawdzianów 10 godz., przygotowanie do kolokwiów 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wykłady 30 godz., ćwiczenia audytoryjne 15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po 30 pkt, każdy sprawdzian zawiera około 8 pytań.
Ćwiczenia – 2 kolokwia po 20 pkt, każde kolokwium zawiera około 4 zadań.
Zaliczenie przedmiotu zintegrowanego po otrzymaniu 51 pkt, zaliczenie części ćwiczeniowej po otrzymaniu 21 pkt z kolokwiów.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Tr1A_W08, Tr1A_W10</w:t>
      </w:r>
    </w:p>
    <w:p>
      <w:pPr>
        <w:spacing w:before="20" w:after="190"/>
      </w:pPr>
      <w:r>
        <w:rPr>
          <w:b/>
          <w:bCs/>
        </w:rPr>
        <w:t xml:space="preserve">Powiązane efekty obszarowe: </w:t>
      </w:r>
      <w:r>
        <w:rPr/>
        <w:t xml:space="preserve">T1A_W03, T1A_W05, InzA_W05, T1A_W04, T1A_W07, T1A_W08, InzA_W02, InzA_W03, InzA_W05</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 InzA_U08</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InzA_U02, T1A_U13, InzA_U05</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2025-07-06T06:42:24+02:00</dcterms:created>
  <dcterms:modified xsi:type="dcterms:W3CDTF">2025-07-06T06:42:24+02:00</dcterms:modified>
</cp:coreProperties>
</file>

<file path=docProps/custom.xml><?xml version="1.0" encoding="utf-8"?>
<Properties xmlns="http://schemas.openxmlformats.org/officeDocument/2006/custom-properties" xmlns:vt="http://schemas.openxmlformats.org/officeDocument/2006/docPropsVTypes"/>
</file>