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 15 godz.
•	Ćwiczenia audytoryjne 30 godz.
•	Ćwiczenia laboratoryjne – 15 godz.
•	Konsultacje – 2 godz.
•	Egzamin – 2 godz.
2) Praca własna studenta – 60, w tym:
•	15 godzin przygotowania literaturowego,
•	20 godzin przygotowania do ćwiczeń audytoryjnych,
•	10 godzin przygotowania do ćwiczeń laboratoryjnych,
•	15 godzin przygotowania się do egzaminu.
Razem – 124 godz. –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64, w tym:
•	Wykład 15 godz.
•	Ćwiczenia audytoryjne 30 godz.
•	Ćwiczenia laboratoryjne – 15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10 godzin przygotowania do ćwiczeń laboratoryjnych,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WM_K1: </w:t>
      </w:r>
    </w:p>
    <w:p>
      <w:pPr/>
      <w:r>
        <w:rPr/>
        <w:t xml:space="preserve">Zna i rozumie pozatechniczne aspekty działalności inżynierskiej w obszarze mechatroniki, w tym jej wpływ na środowisko naturalne.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2026-06-17T16:00:58+02:00</dcterms:created>
  <dcterms:modified xsi:type="dcterms:W3CDTF">2026-06-17T16:00:58+02:00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