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Biochemia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Maria BRETNER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Biomedyczna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1.godziny kontaktowe 30 h, w tym:
a) obecność na wykładach - 30 h,
2. zapoznanie się ze wskazaną literaturą -  10 h
3. przygotowanie do egzaminu i obecność na egzaminie -  5 h
Razem nakład pracy studenta: 45h, co odpowiada 3 punktom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1.godziny kontaktowe 30 h, w tym:
a) obecność na wykładach - 30 h,
Razem nakład pracy studenta: 30h, co odpowiada 2 punktom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ukończeniu kursu student powinien:
•mieć ogólną wiedzę teoretyczną na temat funkcjonowania żywego organizmu na poziomie komórkowym (znać podstawowe szlaki metaboliczne i ich regulację, wiedzieć, jak funkcjonuje kod genetyczny i jak informacja genetyczna jest przekazywana do potomnych komórek), znać budowę i funkcje podstawowych makrocząsteczek biologicznych (białek, kwasów nukleinowych, lipidów, węglowodanów), a także znać podstawowe techniki laboratoryjne wykorzystywane w badaniach biochemicznych, 
•na podstawie dostępnych źródeł literaturowych, internetowych oraz wykładów udostępnionych w formie plików pdf, przyswoić zasób wiedzy określony przez wykładowcę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 przekazuje podstawy biochemii i biologii molekularnej i omawiane są następujące zagadnienia: organizacja komórek prokariotycznych i eukariotycznych, metody mikroskopowe używane w badaniu struktur komórkowych oraz izolacje tych struktur; struktura i funkcja aminokwasów, peptydów, białek, główne metody oczyszczania i analizy białek; struktura i funkcja enzymów, czynniki wpływające na ich aktywność; struktura i metabolizm kwasów tłuszczowych; fotosynteza; biosynteza aminokwasów, lipidów i nukleotydów; informacja genetyczna: struktura DNA i RNA, replikacja DNA, transkrypcja, translacja, struktura genu, genomy prokariotyczne i eukariotyczne, regulacja ekspresji genów, elementy inżynierii genetycznej; cykl komórkowy, jego fazy i kontrola, podział komórek, podstawy dziedziczności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2 pisemne sprawdziany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D.B. Hames, N.M. Hooper. Biochemia. Krótkie wykłady, wydanie II. Przekład pod redakcją Lilli Hryniewieckiej i Kazimierza Ziemnickiego. Wydawnictwo Naukowe PWN, Warszawa 2007
Stryer L.  Biochemia. PWN, Warszawa 2003 lub póżniesze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z zakresu biochemii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W2: </w:t>
      </w:r>
    </w:p>
    <w:p>
      <w:pPr/>
      <w:r>
        <w:rPr/>
        <w:t xml:space="preserve">Zna zastosowanie podstawowych biochemicznych technik badawczych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K_W05,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Umie korzystać ze źródeł literaturowych oraz zasobów internetowych w celu przyswojenia wiedzy z zakresu biochemii.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potrafi pozyskiwać informacje z literatury, integrować je, dokonywać interpretacji oraz wyciągać wnioski i formułować opinie.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ma świadomość ważności i zrozumienie pozatechnicznych aspektów i skutków działalności inżynierskiej, w tym jej wpływu na środowisko,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pisemny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2026-09-11T10:51:38+02:00</dcterms:created>
  <dcterms:modified xsi:type="dcterms:W3CDTF">2026-09-11T10:51:38+02:00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