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10 godz przygotowanie do wykładu,
10 godz konsultacje,
30 godz przygotowanie projektu,
10 godz przygotowania do kolokwiów,
Razem 90 godz - 4ECTS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10 godz konsultacje,
10 godz ocena projektów
Razem 50 godz - 2ECTS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10 godz konsultacje projektowe
Razem 40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inżynierskim</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    Wprowadzenie
Definicje nanotechnologii oraz wybranych dziedzin przez nie realizowanych (nanoelektroniki, elektroniki molekularnej, spintroniki i nanobiotechnologii). Dwie filozofie realizacji nanostruktur: "top-down" i "bottom-up".
    Stan obecny oraz perspektywy rozwoju nanotechnologii
Rys historyczny, przykłady już istniejących i przewidywanych zastosowań; główne trendy rozwojowe. Uwarunkowania ekonomiczno-społeczne.
    Problemy i ograniczenia związane z redukcją rozmiarów struktur elektronicznych a przetwarzanie informacji
Ograniczenia klasyczne (technologiczno-konstrukcyjne) oraz fundamentalne (ziarnistość materii, termodynamika, efekty mezoskopowe i kwantowe, fundamentalne oddziaływania w przyrodzie).
    Środowisko clean-room i środowisko próżni w technologiach elektronicznych i nanotechnologiach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kierunku Elektronika i Inżynieria Biomedyczna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K_W09, K_W11</w:t>
      </w:r>
    </w:p>
    <w:p>
      <w:pPr>
        <w:spacing w:before="20" w:after="190"/>
      </w:pPr>
      <w:r>
        <w:rPr>
          <w:b/>
          <w:bCs/>
        </w:rPr>
        <w:t xml:space="preserve">Powiązane efekty obszarowe: </w:t>
      </w:r>
      <w:r>
        <w:rPr/>
        <w:t xml:space="preserve">T2A_W01, T2A_W05, T2A_W07</w:t>
      </w:r>
    </w:p>
    <w:p>
      <w:pPr>
        <w:keepNext w:val="1"/>
        <w:spacing w:after="10"/>
      </w:pPr>
      <w:r>
        <w:rPr>
          <w:b/>
          <w:bCs/>
        </w:rPr>
        <w:t xml:space="preserve">Efekt 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K_W01, K_W02, K_W09, K_W11</w:t>
      </w:r>
    </w:p>
    <w:p>
      <w:pPr>
        <w:spacing w:before="20" w:after="190"/>
      </w:pPr>
      <w:r>
        <w:rPr>
          <w:b/>
          <w:bCs/>
        </w:rPr>
        <w:t xml:space="preserve">Powiązane efekty obszarowe: </w:t>
      </w:r>
      <w:r>
        <w:rPr/>
        <w:t xml:space="preserve">T2A_W01, 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odwzorowywać kształty w skali nanometrowej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K_U05, K_U12, K_U16</w:t>
      </w:r>
    </w:p>
    <w:p>
      <w:pPr>
        <w:spacing w:before="20" w:after="190"/>
      </w:pPr>
      <w:r>
        <w:rPr>
          <w:b/>
          <w:bCs/>
        </w:rPr>
        <w:t xml:space="preserve">Powiązane efekty obszarowe: </w:t>
      </w:r>
      <w:r>
        <w:rPr/>
        <w:t xml:space="preserve">T2A_U01, T2A_U03, T2A_U05, T2A_U12, T2A_U16</w:t>
      </w:r>
    </w:p>
    <w:p>
      <w:pPr>
        <w:keepNext w:val="1"/>
        <w:spacing w:after="10"/>
      </w:pPr>
      <w:r>
        <w:rPr>
          <w:b/>
          <w:bCs/>
        </w:rPr>
        <w:t xml:space="preserve">Efekt U02: </w:t>
      </w:r>
    </w:p>
    <w:p>
      <w:pPr/>
      <w:r>
        <w:rPr/>
        <w:t xml:space="preserve">Zna alternatywne techniki odwzorowywania kształtów w nanoskali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K_U05, K_U11, K_U12</w:t>
      </w:r>
    </w:p>
    <w:p>
      <w:pPr>
        <w:spacing w:before="20" w:after="190"/>
      </w:pPr>
      <w:r>
        <w:rPr>
          <w:b/>
          <w:bCs/>
        </w:rPr>
        <w:t xml:space="preserve">Powiązane efekty obszarowe: </w:t>
      </w:r>
      <w:r>
        <w:rPr/>
        <w:t xml:space="preserve">T2A_U01, T2A_U03, T2A_U05,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2026-10-01T12:39:38+02:00</dcterms:created>
  <dcterms:modified xsi:type="dcterms:W3CDTF">2026-10-01T12:39:38+02:00</dcterms:modified>
</cp:coreProperties>
</file>

<file path=docProps/custom.xml><?xml version="1.0" encoding="utf-8"?>
<Properties xmlns="http://schemas.openxmlformats.org/officeDocument/2006/custom-properties" xmlns:vt="http://schemas.openxmlformats.org/officeDocument/2006/docPropsVTypes"/>
</file>