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 telekomunikacji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PWTM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h -  zajęcia wykładowe
  1 h - sprawdzian zaliczeniowy 
14 h - praca samodzielna z materiałami do przedmiotu - ustawami, skryptem i kazusami
ŁĄCZNIE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związanej z Prawem telekomunikacyjnym. Problemy związane z prowadzeniem działalności gospodarczej w zakresie telekomunikacji pozostaną głównymi punktami zainteresowań w czasie prowadzonych wykładów. W trakcie zajęć należy zaakcentować elementy cywilistyczne prawa w telekomunikacji. Na tyle, na ile jest to niezbędne w odniesieniu do branżowego prawa w radiokomunikacji, zwrócono uwagę na elementy procedury dochodzenia roszczeń i odpowiedzialności. W programie zwrócono też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System prawa. Przepis i jego interpretacja. Źródła prawa. Miejsce Prawa telekomunikacyjnego w systemie źródeł prawa. Podstawowe zasady Prawa telekomunikacyjnego – przedmiot, podmiot i cel prawa w telekomunikacji. 
2.	Działalność gospodarcza w zakresie usług telekomunikacyjnych. Zezwolenie telekomunikacyjne. Rejestracja działalności telekomunikacyjnej. Działalność nie wymagająca uzyskania zezwolenia telekomunikacyjnego. Opłaty.
3.	Umowy o świadczenie usług telekomunikacyjnych. Zasady podstawowe. Wzorce umów – regulaminy zawierania i wykonywania umów, ogólne warunki umów. Dodatkowe zastrzeżenia umowne w umowach telekomunikacyjnych. Zadatek. Zaliczka. Umowne prawo odstąpienia. Odstępne. Problematyka abonamentu.
4.	Zagadnienia szczególne w prawie telekomunikacyjnym. Zasady świadczenia usług powszechnych. Klauzule niedozwolone w Prawie telekomunikacyjnym. 
5.	Zasady wykonania umów telekomunikacyjnych i skutki ich niewykonania. Zasady wykonania umów telekomunikacyjnych zawartych drogą elektroniczną. Odszkodowanie umowne. Kara umowna.
6.	Organy administracyjne w zakresie telekomunikacji. Minister właściwy do spraw łączności. Prezes Urzędu Komunikacji Elektronicznej. Prezes Urzędu Ochrony Konkurencji i Konsumenta. Zasady wpływu organów administracyjnych na działalność podmiotów świadczących usługi telekomunikacyjne.
7.	Infrastruktura telekomunikacyjna. Udostępnianie sieci. Zasady gospodarowania częstotliwościami. Zasoby numeracji. 
8.	Dostosowanie prawa polskiego do ustawodawstwa europejskiego. Podstawowe akty prawa Unii Europejskiej w zakresie działalności telekomunikacyjnej. Zasady prowadzenia działalności gospodarczej w wybranych państwach – członkach Unii Europejskiej.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pkt. 
4,0 - Student posiada wiedzę i umiejętności na średnim poziomie. Interpretuje treści programowe i formułuje własne uzasadnione na podstawowym poziomie  tezy. Uzyskał 22 -24 pkt. 
4,5 - Student posiada wiedzę i umiejętności na wysokim poziomie. Interpretuje treści programowe, formułuje i uzasadnia tezy.  Uzyskał 25- 27 pkt. 
5,0 - Student posiada wiedzę i umiejętności na wysokim poziomie. Interpretuje treści programowe, formułuje i uzasadnia tezy, stosując prawidłową i skuteczną argumentację.  Uzyskał 28-30 pkt.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Ten sposób zaliczenia jest wyłącznie dobrowolny - tj. student może się na niego zgodzić, ale nie musi.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"Prawo gospodarcze”, pod red. H. Kisilowskiej, Oficyna Wydawnicza PW, 2005.
W. Gromski, J. Kolasa, A. Kozłowski, K. Wójtowicz: "Europejskie i polskie prawo telekomunikacyjne”, Wydawnictwo Prawnicze LexisNexis, Warszawa 2004.
M. Rogalski (red.) "Prawo telekomunikacyjne”, Wolters Kluwer, Warszawa 2011.
Konstytucja
Kodeks cywilny
Ustawa o swobodzie działalności gospodarczej
Prawo telekomunikacyjne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PWTM_W02: </w:t>
      </w:r>
    </w:p>
    <w:p>
      <w:pPr/>
      <w:r>
        <w:rPr/>
        <w:t xml:space="preserve">Student ma uporządkowaną wiedzę w zakresie podejmowania i prowadzenia działalności gospodarczej przez przedsiębiorców i inne podmioty, w zakresie m.in. działalności telekomunikacyjnej.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K_U02, K_U10, K_U12</w:t>
      </w:r>
    </w:p>
    <w:p>
      <w:pPr>
        <w:spacing w:before="20" w:after="190"/>
      </w:pPr>
      <w:r>
        <w:rPr>
          <w:b/>
          <w:bCs/>
        </w:rPr>
        <w:t xml:space="preserve">Powiązane efekty obszarowe: </w:t>
      </w:r>
      <w:r>
        <w:rPr/>
        <w:t xml:space="preserve">T1A_U05, T1A_U02, T1A_U10, T1A_U12, T1A_U13</w:t>
      </w:r>
    </w:p>
    <w:p>
      <w:pPr>
        <w:keepNext w:val="1"/>
        <w:spacing w:after="10"/>
      </w:pPr>
      <w:r>
        <w:rPr>
          <w:b/>
          <w:bCs/>
        </w:rPr>
        <w:t xml:space="preserve">Efekt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K_U02, K_U10, K_U12</w:t>
      </w:r>
    </w:p>
    <w:p>
      <w:pPr>
        <w:spacing w:before="20" w:after="190"/>
      </w:pPr>
      <w:r>
        <w:rPr>
          <w:b/>
          <w:bCs/>
        </w:rPr>
        <w:t xml:space="preserve">Powiązane efekty obszarowe: </w:t>
      </w:r>
      <w:r>
        <w:rPr/>
        <w:t xml:space="preserve">T1A_U05, T1A_U02, T1A_U10, T1A_U12, T1A_U13</w:t>
      </w:r>
    </w:p>
    <w:p>
      <w:pPr>
        <w:pStyle w:val="Heading3"/>
      </w:pPr>
      <w:bookmarkStart w:id="4" w:name="_Toc4"/>
      <w:r>
        <w:t>Profil ogólnoakademicki - kompetencje społeczne</w:t>
      </w:r>
      <w:bookmarkEnd w:id="4"/>
    </w:p>
    <w:p>
      <w:pPr>
        <w:keepNext w:val="1"/>
        <w:spacing w:after="10"/>
      </w:pPr>
      <w:r>
        <w:rPr>
          <w:b/>
          <w:bCs/>
        </w:rPr>
        <w:t xml:space="preserve">Efekt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K_K05, K_K02, K_K04, K_K01, K_K06</w:t>
      </w:r>
    </w:p>
    <w:p>
      <w:pPr>
        <w:spacing w:before="20" w:after="190"/>
      </w:pPr>
      <w:r>
        <w:rPr>
          <w:b/>
          <w:bCs/>
        </w:rPr>
        <w:t xml:space="preserve">Powiązane efekty obszarowe: </w:t>
      </w:r>
      <w:r>
        <w:rPr/>
        <w:t xml:space="preserve">T1A_K05, T1A_K02, T1A_K04, T1A_K01, T1A_K06</w:t>
      </w:r>
    </w:p>
    <w:p>
      <w:pPr>
        <w:keepNext w:val="1"/>
        <w:spacing w:after="10"/>
      </w:pPr>
      <w:r>
        <w:rPr>
          <w:b/>
          <w:bCs/>
        </w:rPr>
        <w:t xml:space="preserve">Efekt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K_K05, K_K02, K_K04, K_K01, K_K06</w:t>
      </w:r>
    </w:p>
    <w:p>
      <w:pPr>
        <w:spacing w:before="20" w:after="190"/>
      </w:pPr>
      <w:r>
        <w:rPr>
          <w:b/>
          <w:bCs/>
        </w:rPr>
        <w:t xml:space="preserve">Powiązane efekty obszarowe: </w:t>
      </w:r>
      <w:r>
        <w:rPr/>
        <w:t xml:space="preserve">T1A_K05, T1A_K02, T1A_K04, 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2026-08-19T17:40:57+02:00</dcterms:created>
  <dcterms:modified xsi:type="dcterms:W3CDTF">2026-08-19T17:40:57+02:00</dcterms:modified>
</cp:coreProperties>
</file>

<file path=docProps/custom.xml><?xml version="1.0" encoding="utf-8"?>
<Properties xmlns="http://schemas.openxmlformats.org/officeDocument/2006/custom-properties" xmlns:vt="http://schemas.openxmlformats.org/officeDocument/2006/docPropsVTypes"/>
</file>