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kultury materialnej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uczestnictwo w wykładach
15 h - napisanie pracy zaliczeniowej 
  2 h - udział w konsultacjach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podstawowymi elementami wiedzy o wytworach i zagadnieniach sztuki (plastyki) użytkowej, która stanowi poważny wkład w kulturę materialną. Przedmioty i zjawiska z tego okresu, omawiane będą w kontekście otoczenia (przestrzeni) oraz równolegle w aspektach: wizualnym (plastyczno-estetycznym), użytkowym, technicznym, społeczno-gospodarczym i historycznym. W wykładach poruszane będą zagadnienia w relacji człowiek otoczenie, człowiek przedmiot, przedmiot w otoczeniu, przedmiot jako jedność funkcji, techniki (konstrukcji - technologii) i ekonomii. Szczególny nacisk położony będzie na wyjaśnienie czynników budujących formę przedmiotów i ich otoczenia, a w konsekwencji zagadnień w percepcji wizualnej i odbioru estetycznego. Celem także jest zwrócenie uwagi studentów na współczesność i jej bezpośrednie "zaplecze" historyczne, czyli powiązania z kulturą, obyczajem i tradycją. W rezultacie wyżej wymienionych zajęć student powinien posiąść ogólną świadomość i podstawową wiedzę o zagadnieniach plastyki użytkowej oraz jej miejscu w kulturze i gospodarce współczesnej.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zajęć:
- zagadnienia percepcji wizualnej
- "alfabet" plastyki ogólnej 
omówienie relacji między sztuką, plastyką a estetyką
Wyjaśnienie podstawowych pojęć takich jak: punkt, linia, płaszczyzna, bryła, przestrzeń, kształt, forma, ruch, statyka - dynamika, kolor, materia, faktura, struktura, konstrukcja, budowa, układ, rytm, kompozycja. Treść i forma w plastyce.
- podstawowe pojęcia plastyki użytkowej
Pojęcie projektowania ogólnego, estetyka życia codziennego, projektowanie a sztuka, projektowania plastyczne a technika (wzornictwo, rola czynników gospodarczych w tym rynkowych)
- człowiek a przedmiot
Przedmioty i narzędzia jako atrybuty człowieka: omówienie pojęć: rzemiosło, rzemiosło artystyczne, sztuka przedmiotu, wzornictwo, wzornictwo przemysłowe, różne rodzaje i zakresy uwarunkowania wzornictwa
- wprowadzenie do zagadnień komunikacji wizualnej i grafiki użytkowej (marka, logo, kolor firmowy, komunikacja, informacja i identyfikacja wizualna)
- wybrane zagadnienia z historii wzornictwa IX i XX wieku
- człowiek a przestrzeń (przestrzeń, otoczenie, architektura), przedmiot i detal. Architektura i budownictwo, urbanistyka i architektura wnętrz.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sprawdzana pod kątem merytorycznym. Ocenie podlega pisemna praca semestralna oraz uczestnictwo w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Kozakiewicz "Słownik terminologiczny sztuk pięknych", PWN, Warszawa 1969.
B. Osińska "Sztuka i czas" 1-4,  WSiP, Warszawa 1998.
C. McDermont "Design - 20 wiek: sztuka projektowania",  Prowincja, Lesko 1999.
C. Frejlich "Rzeczy pospolite. Polskie wyroby 1899–1999", Wydawnictwo BOSZ, Olszanica 2001.
C. Frejlich "Rzeczy niepospolite. Polscy projektanci XX wieku", Kraków 2013.
W. Kopaliński "Opowieści o rzeczach powszednich", Warszawa 1990.
H. de Morant "Historia sztuki zdobniczej od pradziejów do współczesności",  Wydawnictwo Arkady 1981.
A. Przedpełski "Forma i funkcja", WSiP, Warszawa 1979.
W. Telakowska "Problemy wzornictwa przemysłowego", PWN, Warszawa 1966.
W. Rybczyński "Dom. Krótka historia idei",  Marabut, Gdańsk, Warszawa,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EKM_W01: </w:t>
      </w:r>
    </w:p>
    <w:p>
      <w:pPr/>
      <w:r>
        <w:rPr/>
        <w:t xml:space="preserve">Ma podstawową wiedzę o  zagadnieniach plastyki użytkowej i jej miejscu we współczesnej  kulturze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EKM_U01: </w:t>
      </w:r>
    </w:p>
    <w:p>
      <w:pPr/>
      <w:r>
        <w:rPr/>
        <w:t xml:space="preserve">Potrafi, wykorzystując źródła literaturowe, przygotować w formie pisemnej opracowanie  dotyczące zagadnień plastyki użytkowej i jej miejsca w kulturze materialnej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EKM_K01: </w:t>
      </w:r>
    </w:p>
    <w:p>
      <w:pPr/>
      <w:r>
        <w:rPr/>
        <w:t xml:space="preserve">Rozumie pozatechniczne aspekty działalności inżynierskiej dotyczące wzornictwa przemysłowego, grafiki użytkowej, estetyki życia codziennego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pisemnej pracy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2026-03-21T13:30:39+01:00</dcterms:created>
  <dcterms:modified xsi:type="dcterms:W3CDTF">2026-03-21T13:30:39+01:00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