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Katarzyna Osińska-Skotak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GP.NMS400S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godzin, w tym:
a) uczestnictwo w wykładach - 16 godzin
b) udział w konsultacjach  - 2 godziny.
2) Praca własna studenta - 32 godziny, w tym:
a) analiza literatury i stron internetowych światowych agencji kosmicznych - 22 godziny,
b) przygotowanie do sprawdzianu - 10 godzin.
RAZEM - 50 - godzin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- 18 godzin, w tym:
a) uczestnictwo w wykładach - 16 godzin
b) udział w konsultacjach 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0,9 punktu ECTS - 22 godziny, w tym:
a)analiza literatury i stron internetowych światowych agencji kosmicznych - 22 godziny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teledetekcji oraz podstaw cyfrowego przetwarzania obrazów satelitarnych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Głównymi celami przedmiotu są:
•	zaznajomienie się z możliwościami wykorzystania obrazów satelitarnych i lotniczych w badaniach i monitorowaniu środowiska przyrodniczego,
•	zaznajomienie się z metodami przetwarzania obrazów satelitarnych w badaniach i monitorowaniu środowiska przyrodniczego,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Dane teledetekcyjne jako źródło informacji dla inwentaryzacji aktualnego stanu pokrycia i użytkowania terenu. Inwentaryzacja obiektów topograficznych i środowiskowych. Projekty europejskie i światowe dotyczące badania zmian pokrycia terenu.
2. Możliwości zastosowania danych fotogrametrycznych i teledetekcyjnych w urbanistyce. Monitoring terenów zurbanizowanych oraz detekcja zmian, rozwój miast i wsi, ocena stopnia ekspansji i rozwoju miast w Europie i na świecie. Projekty MOLAND, MURBANDY i UrbanAtlas. 
3.Teledetekcja w monitorowaniu zmian środowiska, zarządzaniu i ochronie środowiska. Ocena stanu środowiska, jego degradacji lub poprawy stanu.
4. Teledetekcja w zastosowaniach rolniczych i leśnych. Plany urządzania lasów a dane lotnicze i satelitarne. Planowanie rozwoju terenów wiejskich.
5. Wskaźniki roślinności i wskaźniki glebowe jako parametry jakości stanu środowiska
5. Teledetekcja termalna w badaniach środowiska w skali lokalnej i globalnej.
6. Teledetekcja hiperspektralna i jej zastosowania w badaniach środowiska.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pozytywnej oceny z dwóch sprawdzianów.
Ocenę stanowi średnia arytmetyczna ocen z dwóch sprawdzianów. 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Zastosowania teledetekcji w kartografii gleb, rozdział 6.11 w podręczniku „Podstawy gleboznawstwa z elementami kartografii i ochrony gleb”, PWN, Warszawa, 1979.
Białousz S., Zastosowania teledetekcji w badaniach pokrywy glebowej, rozdział w podręczniku „Gleboznawstwo”, Wyd. PWRiL, Warszawa, 1999.
Jensen J.R., Remote Sensing of the Environment – An Earth Resource Perspective, Prentice Hall, New Jersey, 2000
Barrett E.C., Curtis L.F., Introduction to environmental remote sensing, Chapman &amp; Hall, Third edition, 1992.
Osińska-Skotak K., 2014, "Teledetekcja środowiska" - preskrypt do wykładów
Czasopisma naukowe:
- Teledetekcja Środowiska, dawniej: Fotointerpretacja w Geografii
- Archiwum Fotogrametrii, Teledetekcji i Kartografii
- Roczniki Geomatyki
- Człowiek i Środowisko
- Remote Sensing of Environment
- International Journal of Remote Sensing
- Photogrammetric Engineering&amp; Remote Sensing
- European Remote Sensing
- Remote Sensing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GP.NMS400S_W1: </w:t>
      </w:r>
    </w:p>
    <w:p>
      <w:pPr/>
      <w:r>
        <w:rPr/>
        <w:t xml:space="preserve">zna możliwości wykorzystania technik teledetekcyjnych i GIS do badania stanu środowiska oraz dla potrzeb gospodarki przestrzennej, zna metody przetwarzania obrazów satelitarnych w celu pozyskania informacji do analizy zmian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T2A_W08, P2A_W03, 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GP.NMS400S_U1: </w:t>
      </w:r>
    </w:p>
    <w:p>
      <w:pPr/>
      <w:r>
        <w:rPr/>
        <w:t xml:space="preserve">potrafi dokonać wyboru danych teledetekcyjnych stosownie do skali i problematyki analizowanego zagadnienia, potrafi uzasadnić wybór biorąc pod uwagę różne aspekty analizowanego zagadnienia oraz parametry techniczne danych satelitarnych, potrafi właściwie interpretować uzyskane w wyniku analizy rezultaty opracowania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GP.NMS400S_K1: </w:t>
      </w:r>
    </w:p>
    <w:p>
      <w:pPr/>
      <w:r>
        <w:rPr/>
        <w:t xml:space="preserve">potrafi integrować wiedzę z różnych specjalności i na tej podstawie podejmować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wykładów, obejmujący zadanie problemowe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2026-05-02T00:05:42+02:00</dcterms:created>
  <dcterms:modified xsi:type="dcterms:W3CDTF">2026-05-02T00:05:42+02:00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